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</w:p>
    <w:p>
      <w:pPr>
        <w:spacing w:before="89" w:line="223" w:lineRule="auto"/>
        <w:jc w:val="center"/>
        <w:outlineLvl w:val="0"/>
        <w:rPr>
          <w:rFonts w:ascii="宋体" w:hAnsi="宋体" w:eastAsia="宋体" w:cs="宋体"/>
          <w:spacing w:val="9"/>
          <w:sz w:val="18"/>
          <w:szCs w:val="18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89" w:line="223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单位消防安全集中除患攻坚大整治行动自查表</w:t>
      </w:r>
    </w:p>
    <w:p>
      <w:pPr>
        <w:spacing w:before="12" w:line="196" w:lineRule="auto"/>
        <w:ind w:left="50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单位名称（盖章</w:t>
      </w:r>
      <w:r>
        <w:rPr>
          <w:rFonts w:ascii="微软雅黑" w:hAnsi="微软雅黑" w:eastAsia="微软雅黑" w:cs="微软雅黑"/>
          <w:spacing w:val="-46"/>
          <w:sz w:val="24"/>
          <w:szCs w:val="24"/>
        </w:rPr>
        <w:t>）：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 xml:space="preserve">                     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单位法定代表人（签字</w:t>
      </w:r>
      <w:r>
        <w:rPr>
          <w:rFonts w:ascii="微软雅黑" w:hAnsi="微软雅黑" w:eastAsia="微软雅黑" w:cs="微软雅黑"/>
          <w:spacing w:val="-46"/>
          <w:sz w:val="24"/>
          <w:szCs w:val="24"/>
        </w:rPr>
        <w:t>）：</w:t>
      </w:r>
    </w:p>
    <w:p>
      <w:pPr>
        <w:spacing w:before="4" w:line="268" w:lineRule="exact"/>
        <w:ind w:left="50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单位类别</w:t>
      </w:r>
      <w:r>
        <w:rPr>
          <w:rFonts w:ascii="微软雅黑" w:hAnsi="微软雅黑" w:eastAsia="微软雅黑" w:cs="微软雅黑"/>
          <w:spacing w:val="-2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□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“</w:t>
      </w:r>
      <w:r>
        <w:rPr>
          <w:rFonts w:ascii="微软雅黑" w:hAnsi="微软雅黑" w:eastAsia="微软雅黑" w:cs="微软雅黑"/>
          <w:spacing w:val="-5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 xml:space="preserve">九小场所”；  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□</w:t>
      </w:r>
      <w:r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多业态混合生产经营场所</w:t>
      </w:r>
      <w:r>
        <w:rPr>
          <w:rFonts w:ascii="微软雅黑" w:hAnsi="微软雅黑" w:eastAsia="微软雅黑" w:cs="微软雅黑"/>
          <w:spacing w:val="-3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 xml:space="preserve">；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□</w:t>
      </w:r>
      <w:r>
        <w:rPr>
          <w:rFonts w:ascii="Times New Roman" w:hAnsi="Times New Roman" w:eastAsia="Times New Roman" w:cs="Times New Roman"/>
          <w:spacing w:val="-4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人员密集场所</w:t>
      </w:r>
    </w:p>
    <w:tbl>
      <w:tblPr>
        <w:tblStyle w:val="12"/>
        <w:tblW w:w="98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5139"/>
        <w:gridCol w:w="1346"/>
        <w:gridCol w:w="2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94" w:type="dxa"/>
            <w:vAlign w:val="top"/>
          </w:tcPr>
          <w:p>
            <w:pPr>
              <w:spacing w:before="259" w:line="221" w:lineRule="auto"/>
              <w:ind w:left="2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隐患类别</w:t>
            </w:r>
          </w:p>
        </w:tc>
        <w:tc>
          <w:tcPr>
            <w:tcW w:w="5139" w:type="dxa"/>
            <w:vAlign w:val="top"/>
          </w:tcPr>
          <w:p>
            <w:pPr>
              <w:spacing w:before="259" w:line="222" w:lineRule="auto"/>
              <w:ind w:left="22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检查内容</w:t>
            </w:r>
            <w:bookmarkStart w:id="0" w:name="_GoBack"/>
            <w:bookmarkEnd w:id="0"/>
          </w:p>
        </w:tc>
        <w:tc>
          <w:tcPr>
            <w:tcW w:w="1346" w:type="dxa"/>
            <w:vAlign w:val="top"/>
          </w:tcPr>
          <w:p>
            <w:pPr>
              <w:spacing w:before="258" w:line="222" w:lineRule="auto"/>
              <w:ind w:left="14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是否存在问题</w:t>
            </w:r>
          </w:p>
        </w:tc>
        <w:tc>
          <w:tcPr>
            <w:tcW w:w="2130" w:type="dxa"/>
            <w:vAlign w:val="top"/>
          </w:tcPr>
          <w:p>
            <w:pPr>
              <w:spacing w:before="119" w:line="254" w:lineRule="auto"/>
              <w:ind w:left="264" w:right="67" w:hanging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整改责任、措施、资金、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时限、预案落实情况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7" w:line="214" w:lineRule="auto"/>
              <w:ind w:left="115" w:right="108" w:hanging="12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  <w:t>（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  <w:t>一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  <w:t>）违法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违规施工</w:t>
            </w:r>
            <w:r>
              <w:rPr>
                <w:rFonts w:ascii="微软雅黑" w:hAnsi="微软雅黑" w:eastAsia="微软雅黑" w:cs="微软雅黑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作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业和生产经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8"/>
                <w:szCs w:val="18"/>
              </w:rPr>
              <w:t>营。</w:t>
            </w:r>
          </w:p>
        </w:tc>
        <w:tc>
          <w:tcPr>
            <w:tcW w:w="5139" w:type="dxa"/>
            <w:vAlign w:val="top"/>
          </w:tcPr>
          <w:p>
            <w:pPr>
              <w:spacing w:before="156" w:line="209" w:lineRule="auto"/>
              <w:ind w:left="112" w:right="56" w:firstLine="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是否存在未经审批施工作业、无证施工作业、违规拆除作业、</w:t>
            </w:r>
            <w:r>
              <w:rPr>
                <w:rFonts w:ascii="微软雅黑" w:hAnsi="微软雅黑" w:eastAsia="微软雅黑" w:cs="微软雅黑"/>
                <w:spacing w:val="15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违规层层转包施工作业、未落实作业安全措施冒险作业。</w:t>
            </w:r>
          </w:p>
        </w:tc>
        <w:tc>
          <w:tcPr>
            <w:tcW w:w="1346" w:type="dxa"/>
            <w:vAlign w:val="top"/>
          </w:tcPr>
          <w:p>
            <w:pPr>
              <w:spacing w:before="297" w:line="201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9" w:type="dxa"/>
            <w:vAlign w:val="top"/>
          </w:tcPr>
          <w:p>
            <w:pPr>
              <w:spacing w:before="69" w:line="198" w:lineRule="auto"/>
              <w:ind w:left="112" w:right="51" w:hanging="6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2.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是否存在违规使用明火或者电焊、气焊作业，动火、电焊、气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焊作业人员未持证上岗</w:t>
            </w:r>
            <w:r>
              <w:rPr>
                <w:rFonts w:ascii="微软雅黑" w:hAnsi="微软雅黑" w:eastAsia="微软雅黑" w:cs="微软雅黑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，电焊、气焊作业未办理动火审批手续，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作业现场未采取相应的消防安全措施。</w:t>
            </w:r>
          </w:p>
        </w:tc>
        <w:tc>
          <w:tcPr>
            <w:tcW w:w="13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01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9" w:type="dxa"/>
            <w:vAlign w:val="top"/>
          </w:tcPr>
          <w:p>
            <w:pPr>
              <w:spacing w:before="113" w:line="195" w:lineRule="auto"/>
              <w:ind w:left="1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3.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是否存在动火作业未安排专门人员进行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现场安全管理。</w:t>
            </w:r>
          </w:p>
        </w:tc>
        <w:tc>
          <w:tcPr>
            <w:tcW w:w="1346" w:type="dxa"/>
            <w:vAlign w:val="top"/>
          </w:tcPr>
          <w:p>
            <w:pPr>
              <w:spacing w:before="113" w:line="195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9" w:type="dxa"/>
            <w:vAlign w:val="top"/>
          </w:tcPr>
          <w:p>
            <w:pPr>
              <w:spacing w:before="68" w:line="189" w:lineRule="auto"/>
              <w:ind w:left="118" w:right="103" w:hanging="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4.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是否存在施工现场动火动焊作业、带火花作业与具有火灾、爆</w:t>
            </w:r>
            <w:r>
              <w:rPr>
                <w:rFonts w:ascii="微软雅黑" w:hAnsi="微软雅黑" w:eastAsia="微软雅黑" w:cs="微软雅黑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炸风险作业交叉进行。</w:t>
            </w:r>
          </w:p>
        </w:tc>
        <w:tc>
          <w:tcPr>
            <w:tcW w:w="1346" w:type="dxa"/>
            <w:vAlign w:val="top"/>
          </w:tcPr>
          <w:p>
            <w:pPr>
              <w:spacing w:before="208" w:line="201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9" w:type="dxa"/>
            <w:vAlign w:val="top"/>
          </w:tcPr>
          <w:p>
            <w:pPr>
              <w:spacing w:before="69" w:line="198" w:lineRule="auto"/>
              <w:ind w:left="117" w:right="103" w:hanging="6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5.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是否存在设置在人员密集场所、地下建筑的冷库违规采用易燃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可燃保温材料，</w:t>
            </w:r>
            <w:r>
              <w:rPr>
                <w:rFonts w:ascii="微软雅黑" w:hAnsi="微软雅黑" w:eastAsia="微软雅黑" w:cs="微软雅黑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防火分隔不到位</w:t>
            </w:r>
            <w:r>
              <w:rPr>
                <w:rFonts w:ascii="微软雅黑" w:hAnsi="微软雅黑" w:eastAsia="微软雅黑" w:cs="微软雅黑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，冷库建设</w:t>
            </w:r>
            <w:r>
              <w:rPr>
                <w:rFonts w:ascii="微软雅黑" w:hAnsi="微软雅黑" w:eastAsia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、改造</w:t>
            </w:r>
            <w:r>
              <w:rPr>
                <w:rFonts w:ascii="微软雅黑" w:hAnsi="微软雅黑" w:eastAsia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、拆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除施工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期间未严密落实火灾防范措施。</w:t>
            </w:r>
          </w:p>
        </w:tc>
        <w:tc>
          <w:tcPr>
            <w:tcW w:w="13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01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7" w:line="212" w:lineRule="auto"/>
              <w:ind w:left="113" w:right="108" w:hanging="1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</w:rPr>
              <w:t>（</w:t>
            </w:r>
            <w:r>
              <w:rPr>
                <w:rFonts w:ascii="微软雅黑" w:hAnsi="微软雅黑" w:eastAsia="微软雅黑" w:cs="微软雅黑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</w:rPr>
              <w:t>二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</w:rPr>
              <w:t>）安全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疏散条件不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足。</w:t>
            </w:r>
          </w:p>
        </w:tc>
        <w:tc>
          <w:tcPr>
            <w:tcW w:w="5139" w:type="dxa"/>
            <w:vAlign w:val="top"/>
          </w:tcPr>
          <w:p>
            <w:pPr>
              <w:spacing w:before="158" w:line="200" w:lineRule="auto"/>
              <w:ind w:right="15"/>
              <w:jc w:val="righ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>是否存在占用、堵塞、封闭疏散通道、安全出口和消防车通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道。</w:t>
            </w:r>
          </w:p>
        </w:tc>
        <w:tc>
          <w:tcPr>
            <w:tcW w:w="1346" w:type="dxa"/>
            <w:vAlign w:val="top"/>
          </w:tcPr>
          <w:p>
            <w:pPr>
              <w:spacing w:before="157" w:line="201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9" w:type="dxa"/>
            <w:vAlign w:val="top"/>
          </w:tcPr>
          <w:p>
            <w:pPr>
              <w:spacing w:before="115" w:line="193" w:lineRule="auto"/>
              <w:ind w:left="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2.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是否存在安全出口和疏散楼梯数量不足、宽度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不够。</w:t>
            </w:r>
          </w:p>
        </w:tc>
        <w:tc>
          <w:tcPr>
            <w:tcW w:w="1346" w:type="dxa"/>
            <w:vAlign w:val="top"/>
          </w:tcPr>
          <w:p>
            <w:pPr>
              <w:spacing w:before="115" w:line="193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9" w:type="dxa"/>
            <w:vAlign w:val="top"/>
          </w:tcPr>
          <w:p>
            <w:pPr>
              <w:spacing w:before="115" w:line="193" w:lineRule="auto"/>
              <w:ind w:left="1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3.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是否存在应急广播、应急照明、疏散指示标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志缺失、损坏。</w:t>
            </w:r>
          </w:p>
        </w:tc>
        <w:tc>
          <w:tcPr>
            <w:tcW w:w="1346" w:type="dxa"/>
            <w:vAlign w:val="top"/>
          </w:tcPr>
          <w:p>
            <w:pPr>
              <w:spacing w:before="115" w:line="193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9" w:type="dxa"/>
            <w:vAlign w:val="top"/>
          </w:tcPr>
          <w:p>
            <w:pPr>
              <w:spacing w:before="71" w:line="188" w:lineRule="auto"/>
              <w:ind w:left="117" w:right="103" w:hanging="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4.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是否存在未结合实际制定灭火和应急疏散预案，员工、宿管员</w:t>
            </w:r>
            <w:r>
              <w:rPr>
                <w:rFonts w:ascii="微软雅黑" w:hAnsi="微软雅黑" w:eastAsia="微软雅黑" w:cs="微软雅黑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不掌握初起火灾扑救和组织疏散逃生技能。</w:t>
            </w:r>
          </w:p>
        </w:tc>
        <w:tc>
          <w:tcPr>
            <w:tcW w:w="1346" w:type="dxa"/>
            <w:vAlign w:val="top"/>
          </w:tcPr>
          <w:p>
            <w:pPr>
              <w:spacing w:before="208" w:line="201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9" w:type="dxa"/>
            <w:vAlign w:val="top"/>
          </w:tcPr>
          <w:p>
            <w:pPr>
              <w:spacing w:before="69" w:line="198" w:lineRule="auto"/>
              <w:ind w:left="112" w:right="106" w:hanging="1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5.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是否存在多业态混合生产经营场所未确定责任人对共用的疏</w:t>
            </w:r>
            <w:r>
              <w:rPr>
                <w:rFonts w:ascii="微软雅黑" w:hAnsi="微软雅黑" w:eastAsia="微软雅黑" w:cs="微软雅黑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散通道</w:t>
            </w:r>
            <w:r>
              <w:rPr>
                <w:rFonts w:ascii="微软雅黑" w:hAnsi="微软雅黑" w:eastAsia="微软雅黑" w:cs="微软雅黑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、安全出口进行统</w:t>
            </w:r>
            <w:r>
              <w:rPr>
                <w:rFonts w:ascii="微软雅黑" w:hAnsi="微软雅黑" w:eastAsia="微软雅黑" w:cs="微软雅黑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一管理</w:t>
            </w:r>
            <w:r>
              <w:rPr>
                <w:rFonts w:ascii="微软雅黑" w:hAnsi="微软雅黑" w:eastAsia="微软雅黑" w:cs="微软雅黑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，是否存在未安装</w:t>
            </w:r>
            <w:r>
              <w:rPr>
                <w:rFonts w:ascii="微软雅黑" w:hAnsi="微软雅黑" w:eastAsia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一键警报广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播装置。</w:t>
            </w:r>
          </w:p>
        </w:tc>
        <w:tc>
          <w:tcPr>
            <w:tcW w:w="13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1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94" w:type="dxa"/>
            <w:vAlign w:val="top"/>
          </w:tcPr>
          <w:p>
            <w:pPr>
              <w:spacing w:before="73" w:line="197" w:lineRule="auto"/>
              <w:ind w:left="115" w:right="108" w:hanging="12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（三）</w:t>
            </w:r>
            <w:r>
              <w:rPr>
                <w:rFonts w:ascii="微软雅黑" w:hAnsi="微软雅黑" w:eastAsia="微软雅黑" w:cs="微软雅黑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违规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设置防盗网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和广告牌。</w:t>
            </w:r>
          </w:p>
        </w:tc>
        <w:tc>
          <w:tcPr>
            <w:tcW w:w="5139" w:type="dxa"/>
            <w:vAlign w:val="top"/>
          </w:tcPr>
          <w:p>
            <w:pPr>
              <w:spacing w:before="210" w:line="210" w:lineRule="auto"/>
              <w:ind w:left="111" w:right="103" w:firstLine="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1.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人员密集场所在门窗上设置影响逃生和灭火救援的防盗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网、铁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栅栏、广告牌等障碍物。</w:t>
            </w:r>
          </w:p>
        </w:tc>
        <w:tc>
          <w:tcPr>
            <w:tcW w:w="13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01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94" w:type="dxa"/>
            <w:vAlign w:val="top"/>
          </w:tcPr>
          <w:p>
            <w:pPr>
              <w:spacing w:before="221" w:line="196" w:lineRule="auto"/>
              <w:ind w:left="1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（四）其他</w:t>
            </w:r>
          </w:p>
        </w:tc>
        <w:tc>
          <w:tcPr>
            <w:tcW w:w="5139" w:type="dxa"/>
            <w:vAlign w:val="top"/>
          </w:tcPr>
          <w:p>
            <w:pPr>
              <w:spacing w:before="72" w:line="201" w:lineRule="auto"/>
              <w:ind w:left="1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其他问题：</w:t>
            </w:r>
          </w:p>
        </w:tc>
        <w:tc>
          <w:tcPr>
            <w:tcW w:w="1346" w:type="dxa"/>
            <w:vAlign w:val="top"/>
          </w:tcPr>
          <w:p>
            <w:pPr>
              <w:spacing w:before="220" w:line="201" w:lineRule="auto"/>
              <w:ind w:left="1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0" w:line="196" w:lineRule="auto"/>
        <w:rPr>
          <w:rFonts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单位自查人员（签字</w:t>
      </w:r>
      <w:r>
        <w:rPr>
          <w:rFonts w:ascii="微软雅黑" w:hAnsi="微软雅黑" w:eastAsia="微软雅黑" w:cs="微软雅黑"/>
          <w:b w:val="0"/>
          <w:bCs w:val="0"/>
          <w:spacing w:val="-49"/>
          <w:w w:val="9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ascii="微软雅黑" w:hAnsi="微软雅黑" w:eastAsia="微软雅黑" w:cs="微软雅黑"/>
          <w:b w:val="0"/>
          <w:bCs w:val="0"/>
          <w:spacing w:val="1"/>
          <w:sz w:val="24"/>
          <w:szCs w:val="24"/>
        </w:rPr>
        <w:t xml:space="preserve">                               </w:t>
      </w:r>
      <w:r>
        <w:rPr>
          <w:rFonts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</w:t>
      </w:r>
      <w:r>
        <w:rPr>
          <w:rFonts w:ascii="微软雅黑" w:hAnsi="微软雅黑" w:eastAsia="微软雅黑" w:cs="微软雅黑"/>
          <w:b w:val="0"/>
          <w:bCs w:val="0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自查时间：</w:t>
      </w:r>
    </w:p>
    <w:p>
      <w:pPr>
        <w:spacing w:before="193" w:line="168" w:lineRule="auto"/>
        <w:ind w:left="499" w:right="511" w:firstLine="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：</w:t>
      </w:r>
      <w:r>
        <w:rPr>
          <w:rFonts w:ascii="微软雅黑" w:hAnsi="微软雅黑" w:eastAsia="微软雅黑" w:cs="微软雅黑"/>
          <w:spacing w:val="-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1.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“</w:t>
      </w:r>
      <w:r>
        <w:rPr>
          <w:rFonts w:ascii="微软雅黑" w:hAnsi="微软雅黑" w:eastAsia="微软雅黑" w:cs="微软雅黑"/>
          <w:spacing w:val="-4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九小场所</w:t>
      </w:r>
      <w:r>
        <w:rPr>
          <w:rFonts w:ascii="微软雅黑" w:hAnsi="微软雅黑" w:eastAsia="微软雅黑" w:cs="微软雅黑"/>
          <w:spacing w:val="-4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”包括小商店、小市场、小餐饮、非寄宿制的学校（托儿所、幼儿园）</w:t>
      </w:r>
      <w:r>
        <w:rPr>
          <w:rFonts w:ascii="微软雅黑" w:hAnsi="微软雅黑" w:eastAsia="微软雅黑" w:cs="微软雅黑"/>
          <w:spacing w:val="-2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、小生</w:t>
      </w:r>
      <w:r>
        <w:rPr>
          <w:rFonts w:ascii="微软雅黑" w:hAnsi="微软雅黑" w:eastAsia="微软雅黑" w:cs="微软雅黑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产加工企业、小易燃易爆单位、小汽车库停车场、小仓储场所、快递场所等场所</w:t>
      </w:r>
      <w:r>
        <w:rPr>
          <w:rFonts w:ascii="微软雅黑" w:hAnsi="微软雅黑" w:eastAsia="微软雅黑" w:cs="微软雅黑"/>
          <w:spacing w:val="-2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；</w:t>
      </w:r>
      <w:r>
        <w:rPr>
          <w:rFonts w:ascii="微软雅黑" w:hAnsi="微软雅黑" w:eastAsia="微软雅黑" w:cs="微软雅黑"/>
          <w:spacing w:val="-2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多业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态混合生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产经营场所包括集餐饮</w:t>
      </w:r>
      <w:r>
        <w:rPr>
          <w:rFonts w:ascii="微软雅黑" w:hAnsi="微软雅黑" w:eastAsia="微软雅黑" w:cs="微软雅黑"/>
          <w:spacing w:val="-2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、住宿、娱乐</w:t>
      </w:r>
      <w:r>
        <w:rPr>
          <w:rFonts w:ascii="微软雅黑" w:hAnsi="微软雅黑" w:eastAsia="微软雅黑" w:cs="微软雅黑"/>
          <w:spacing w:val="-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、商业、仓储</w:t>
      </w:r>
      <w:r>
        <w:rPr>
          <w:rFonts w:ascii="微软雅黑" w:hAnsi="微软雅黑" w:eastAsia="微软雅黑" w:cs="微软雅黑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、文化、体育</w:t>
      </w:r>
      <w:r>
        <w:rPr>
          <w:rFonts w:ascii="微软雅黑" w:hAnsi="微软雅黑" w:eastAsia="微软雅黑" w:cs="微软雅黑"/>
          <w:spacing w:val="-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、培训等多业态多功能于一体的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经营场所</w:t>
      </w:r>
      <w:r>
        <w:rPr>
          <w:rFonts w:ascii="微软雅黑" w:hAnsi="微软雅黑" w:eastAsia="微软雅黑" w:cs="微软雅黑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，分租、转租形成生产储存多种功能的劳动密集型企业等场所</w:t>
      </w:r>
      <w:r>
        <w:rPr>
          <w:rFonts w:ascii="微软雅黑" w:hAnsi="微软雅黑" w:eastAsia="微软雅黑" w:cs="微软雅黑"/>
          <w:spacing w:val="-2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；人员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密集场所包括老旧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市场</w:t>
      </w:r>
      <w:r>
        <w:rPr>
          <w:rFonts w:ascii="微软雅黑" w:hAnsi="微软雅黑" w:eastAsia="微软雅黑" w:cs="微软雅黑"/>
          <w:spacing w:val="-2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、宾馆饭店、公共娱乐场所</w:t>
      </w:r>
      <w:r>
        <w:rPr>
          <w:rFonts w:ascii="微软雅黑" w:hAnsi="微软雅黑" w:eastAsia="微软雅黑" w:cs="微软雅黑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、大型商业综合体</w:t>
      </w:r>
      <w:r>
        <w:rPr>
          <w:rFonts w:ascii="微软雅黑" w:hAnsi="微软雅黑" w:eastAsia="微软雅黑" w:cs="微软雅黑"/>
          <w:spacing w:val="-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、</w:t>
      </w:r>
      <w:r>
        <w:rPr>
          <w:rFonts w:ascii="微软雅黑" w:hAnsi="微软雅黑" w:eastAsia="微软雅黑" w:cs="微软雅黑"/>
          <w:spacing w:val="-3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医院、寄宿制中小学</w:t>
      </w:r>
      <w:r>
        <w:rPr>
          <w:rFonts w:ascii="微软雅黑" w:hAnsi="微软雅黑" w:eastAsia="微软雅黑" w:cs="微软雅黑"/>
          <w:spacing w:val="-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、养老院</w:t>
      </w:r>
      <w:r>
        <w:rPr>
          <w:rFonts w:ascii="微软雅黑" w:hAnsi="微软雅黑" w:eastAsia="微软雅黑" w:cs="微软雅黑"/>
          <w:spacing w:val="-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、旅游场所、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儿童福利院等场所。</w:t>
      </w:r>
    </w:p>
    <w:p>
      <w:pPr>
        <w:spacing w:before="2" w:line="187" w:lineRule="auto"/>
        <w:ind w:left="497" w:right="518" w:firstLine="41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2.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此承诺书采用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A4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纸打印</w:t>
      </w:r>
      <w:r>
        <w:rPr>
          <w:rFonts w:ascii="微软雅黑" w:hAnsi="微软雅黑" w:eastAsia="微软雅黑" w:cs="微软雅黑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，</w:t>
      </w:r>
      <w:r>
        <w:rPr>
          <w:rFonts w:ascii="微软雅黑" w:hAnsi="微软雅黑" w:eastAsia="微软雅黑" w:cs="微软雅黑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一</w:t>
      </w:r>
      <w:r>
        <w:rPr>
          <w:rFonts w:ascii="微软雅黑" w:hAnsi="微软雅黑" w:eastAsia="微软雅黑" w:cs="微软雅黑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式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份</w:t>
      </w:r>
      <w:r>
        <w:rPr>
          <w:rFonts w:ascii="微软雅黑" w:hAnsi="微软雅黑" w:eastAsia="微软雅黑" w:cs="微软雅黑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，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由单位负责人填写并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加盖公章</w:t>
      </w:r>
      <w:r>
        <w:rPr>
          <w:rFonts w:ascii="微软雅黑" w:hAnsi="微软雅黑" w:eastAsia="微软雅黑" w:cs="微软雅黑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，</w:t>
      </w:r>
      <w:r>
        <w:rPr>
          <w:rFonts w:ascii="微软雅黑" w:hAnsi="微软雅黑" w:eastAsia="微软雅黑" w:cs="微软雅黑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份张贴于该单位醒目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>位置</w:t>
      </w:r>
      <w:r>
        <w:rPr>
          <w:rFonts w:ascii="微软雅黑" w:hAnsi="微软雅黑" w:eastAsia="微软雅黑" w:cs="微软雅黑"/>
          <w:spacing w:val="-1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>，</w:t>
      </w:r>
      <w:r>
        <w:rPr>
          <w:rFonts w:ascii="微软雅黑" w:hAnsi="微软雅黑" w:eastAsia="微软雅黑" w:cs="微软雅黑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1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>份单位存档留存。</w:t>
      </w:r>
    </w:p>
    <w:p>
      <w:pPr>
        <w:pStyle w:val="2"/>
        <w:jc w:val="both"/>
        <w:rPr>
          <w:rFonts w:hint="eastAsia"/>
        </w:rPr>
      </w:pPr>
    </w:p>
    <w:sectPr>
      <w:footerReference r:id="rId3" w:type="default"/>
      <w:type w:val="continuous"/>
      <w:pgSz w:w="11906" w:h="16839"/>
      <w:pgMar w:top="1431" w:right="1417" w:bottom="1784" w:left="1417" w:header="0" w:footer="1529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YmNiNDJlYmYwOGRkMTg4ZTNhNjZlZDdmMGFhMDkifQ=="/>
  </w:docVars>
  <w:rsids>
    <w:rsidRoot w:val="009844C9"/>
    <w:rsid w:val="0005330F"/>
    <w:rsid w:val="000F7879"/>
    <w:rsid w:val="00160950"/>
    <w:rsid w:val="00174E58"/>
    <w:rsid w:val="001B0EF0"/>
    <w:rsid w:val="001E3B09"/>
    <w:rsid w:val="00227F91"/>
    <w:rsid w:val="00231602"/>
    <w:rsid w:val="00232EC9"/>
    <w:rsid w:val="00360DC4"/>
    <w:rsid w:val="003A5D5C"/>
    <w:rsid w:val="003E142D"/>
    <w:rsid w:val="00453835"/>
    <w:rsid w:val="00485EBE"/>
    <w:rsid w:val="00514F58"/>
    <w:rsid w:val="005431E8"/>
    <w:rsid w:val="00663D6D"/>
    <w:rsid w:val="006B02EE"/>
    <w:rsid w:val="006E08AF"/>
    <w:rsid w:val="007C19B9"/>
    <w:rsid w:val="007F2286"/>
    <w:rsid w:val="00845E4F"/>
    <w:rsid w:val="008875E2"/>
    <w:rsid w:val="009844C9"/>
    <w:rsid w:val="009B6F15"/>
    <w:rsid w:val="009F1E1D"/>
    <w:rsid w:val="00A32FA4"/>
    <w:rsid w:val="00A47D8B"/>
    <w:rsid w:val="00A93073"/>
    <w:rsid w:val="00A93E13"/>
    <w:rsid w:val="00A95FA6"/>
    <w:rsid w:val="00AC2FB5"/>
    <w:rsid w:val="00AE2771"/>
    <w:rsid w:val="00AF0E3D"/>
    <w:rsid w:val="00BC21F7"/>
    <w:rsid w:val="00C17155"/>
    <w:rsid w:val="00C248BD"/>
    <w:rsid w:val="00C45C7F"/>
    <w:rsid w:val="00DB25EC"/>
    <w:rsid w:val="00DB28B1"/>
    <w:rsid w:val="00E43B2E"/>
    <w:rsid w:val="00FD3775"/>
    <w:rsid w:val="02180A0F"/>
    <w:rsid w:val="03200295"/>
    <w:rsid w:val="04FE247F"/>
    <w:rsid w:val="068143AA"/>
    <w:rsid w:val="0A46446B"/>
    <w:rsid w:val="0CC55A09"/>
    <w:rsid w:val="0DDF0D4D"/>
    <w:rsid w:val="0F9718DF"/>
    <w:rsid w:val="0FED7751"/>
    <w:rsid w:val="101E58F5"/>
    <w:rsid w:val="12AD766B"/>
    <w:rsid w:val="15107A3E"/>
    <w:rsid w:val="17534B91"/>
    <w:rsid w:val="1EC803AA"/>
    <w:rsid w:val="1F9279CD"/>
    <w:rsid w:val="21025026"/>
    <w:rsid w:val="21DC5877"/>
    <w:rsid w:val="25494FD2"/>
    <w:rsid w:val="26B50445"/>
    <w:rsid w:val="288436A4"/>
    <w:rsid w:val="289F315B"/>
    <w:rsid w:val="28ED1885"/>
    <w:rsid w:val="292A336C"/>
    <w:rsid w:val="2A4346E5"/>
    <w:rsid w:val="2C626979"/>
    <w:rsid w:val="2CC65ACB"/>
    <w:rsid w:val="2D216834"/>
    <w:rsid w:val="2E722EE1"/>
    <w:rsid w:val="2FD23E16"/>
    <w:rsid w:val="3172765E"/>
    <w:rsid w:val="34164C19"/>
    <w:rsid w:val="354237EC"/>
    <w:rsid w:val="377E2519"/>
    <w:rsid w:val="382947EF"/>
    <w:rsid w:val="39902D77"/>
    <w:rsid w:val="39E9692C"/>
    <w:rsid w:val="3AE25855"/>
    <w:rsid w:val="3AF1025D"/>
    <w:rsid w:val="3C0F19F3"/>
    <w:rsid w:val="3E353B57"/>
    <w:rsid w:val="401144E6"/>
    <w:rsid w:val="4226071D"/>
    <w:rsid w:val="473635D9"/>
    <w:rsid w:val="4CA86E9E"/>
    <w:rsid w:val="4D653CE1"/>
    <w:rsid w:val="4E346D43"/>
    <w:rsid w:val="512205CF"/>
    <w:rsid w:val="51A06720"/>
    <w:rsid w:val="54B93BD7"/>
    <w:rsid w:val="5851547B"/>
    <w:rsid w:val="5E190CDE"/>
    <w:rsid w:val="62970423"/>
    <w:rsid w:val="63E04E3A"/>
    <w:rsid w:val="641A130C"/>
    <w:rsid w:val="65B65064"/>
    <w:rsid w:val="65C459D3"/>
    <w:rsid w:val="6C0C1D24"/>
    <w:rsid w:val="6DBF230B"/>
    <w:rsid w:val="6E250FD9"/>
    <w:rsid w:val="6FB10D76"/>
    <w:rsid w:val="70AC41C3"/>
    <w:rsid w:val="712B2DAA"/>
    <w:rsid w:val="750C4CA1"/>
    <w:rsid w:val="76F33B29"/>
    <w:rsid w:val="76F459ED"/>
    <w:rsid w:val="780F0A2B"/>
    <w:rsid w:val="78963B45"/>
    <w:rsid w:val="7B0F3F35"/>
    <w:rsid w:val="7B7D5D30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4"/>
      <w:ind w:left="214" w:right="25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宋体"/>
      <w:b/>
      <w:bCs/>
      <w:sz w:val="32"/>
      <w:szCs w:val="18"/>
    </w:r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Char"/>
    <w:basedOn w:val="10"/>
    <w:link w:val="6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4">
    <w:name w:val="页眉 Char"/>
    <w:basedOn w:val="10"/>
    <w:link w:val="8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5">
    <w:name w:val="页脚 Char"/>
    <w:basedOn w:val="10"/>
    <w:link w:val="7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214</Words>
  <Characters>1222</Characters>
  <Lines>10</Lines>
  <Paragraphs>2</Paragraphs>
  <TotalTime>7</TotalTime>
  <ScaleCrop>false</ScaleCrop>
  <LinksUpToDate>false</LinksUpToDate>
  <CharactersWithSpaces>1434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2023-03-15T01:08:00Z</dcterms:created>
  <dc:creator>文印1</dc:creator>
  <cp:lastModifiedBy>此人已分身</cp:lastModifiedBy>
  <cp:lastPrinted>2023-03-14T08:51:00Z</cp:lastPrinted>
  <dcterms:modified xsi:type="dcterms:W3CDTF">2024-02-22T03:07:50Z</dcterms:modified>
  <dc:title>山东省教育厅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2023-02-21T08:49:04Z</vt:filetime>
  </property>
  <property fmtid="{D5CDD505-2E9C-101B-9397-08002B2CF9AE}" pid="4" name="KSOProductBuildVer">
    <vt:lpwstr>2052-12.1.0.16250</vt:lpwstr>
  </property>
  <property fmtid="{D5CDD505-2E9C-101B-9397-08002B2CF9AE}" pid="5" name="ICV">
    <vt:lpwstr>98ECB84946E24825B1144531333C6532</vt:lpwstr>
  </property>
</Properties>
</file>