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kern w:val="0"/>
          <w:sz w:val="32"/>
          <w:szCs w:val="32"/>
        </w:rPr>
      </w:pPr>
      <w:r>
        <w:rPr>
          <w:rFonts w:hint="eastAsia" w:ascii="黑体" w:hAnsi="黑体" w:eastAsia="黑体" w:cs="黑体"/>
          <w:kern w:val="0"/>
          <w:sz w:val="32"/>
          <w:szCs w:val="32"/>
        </w:rPr>
        <w:t>附件1</w:t>
      </w:r>
    </w:p>
    <w:p>
      <w:pPr>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“中国电信杯”山东省第四届大学生</w:t>
      </w:r>
    </w:p>
    <w:p>
      <w:pPr>
        <w:spacing w:line="580" w:lineRule="exact"/>
        <w:jc w:val="center"/>
        <w:rPr>
          <w:rFonts w:ascii="黑体" w:hAnsi="黑体" w:eastAsia="黑体" w:cs="黑体"/>
          <w:kern w:val="0"/>
          <w:sz w:val="32"/>
          <w:szCs w:val="32"/>
        </w:rPr>
      </w:pPr>
      <w:r>
        <w:rPr>
          <w:rFonts w:hint="eastAsia" w:ascii="方正小标宋简体" w:hAnsi="方正小标宋简体" w:eastAsia="方正小标宋简体" w:cs="方正小标宋简体"/>
          <w:kern w:val="0"/>
          <w:sz w:val="44"/>
          <w:szCs w:val="44"/>
        </w:rPr>
        <w:t>国家安全知识竞赛活动方案</w:t>
      </w:r>
    </w:p>
    <w:p>
      <w:pPr>
        <w:spacing w:line="580" w:lineRule="exact"/>
        <w:jc w:val="left"/>
        <w:rPr>
          <w:rFonts w:ascii="黑体" w:hAnsi="黑体" w:eastAsia="黑体" w:cs="黑体"/>
          <w:kern w:val="0"/>
          <w:sz w:val="32"/>
          <w:szCs w:val="32"/>
        </w:rPr>
      </w:pPr>
    </w:p>
    <w:p>
      <w:pPr>
        <w:spacing w:line="580" w:lineRule="exact"/>
        <w:ind w:firstLine="640"/>
        <w:rPr>
          <w:rFonts w:ascii="黑体" w:hAnsi="黑体" w:eastAsia="黑体" w:cs="黑体"/>
          <w:kern w:val="0"/>
          <w:sz w:val="32"/>
          <w:szCs w:val="32"/>
        </w:rPr>
      </w:pPr>
      <w:r>
        <w:rPr>
          <w:rFonts w:hint="eastAsia" w:ascii="黑体" w:hAnsi="黑体" w:eastAsia="黑体" w:cs="黑体"/>
          <w:kern w:val="0"/>
          <w:sz w:val="32"/>
          <w:szCs w:val="32"/>
        </w:rPr>
        <w:t>一、举办单位</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主办单位：山东省教育厅</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承办单位：山东省学校安全研究与教育基地</w:t>
      </w:r>
    </w:p>
    <w:p>
      <w:pPr>
        <w:spacing w:line="580" w:lineRule="exact"/>
        <w:ind w:firstLine="2240" w:firstLineChars="7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山东传媒职业学院</w:t>
      </w:r>
    </w:p>
    <w:p>
      <w:pPr>
        <w:spacing w:line="580" w:lineRule="exact"/>
        <w:ind w:firstLine="2240" w:firstLineChars="7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山东省高等学校安全保卫协会</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技术支持：中国电信集团山东分公司</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二、活动时间</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日至4月15日</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三、活动主题</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总体国家安全观·创新引领十周年</w:t>
      </w:r>
    </w:p>
    <w:p>
      <w:pPr>
        <w:spacing w:line="580" w:lineRule="exact"/>
        <w:ind w:firstLine="640"/>
        <w:rPr>
          <w:rFonts w:ascii="黑体" w:hAnsi="黑体" w:eastAsia="黑体" w:cs="黑体"/>
          <w:kern w:val="0"/>
          <w:sz w:val="32"/>
          <w:szCs w:val="32"/>
        </w:rPr>
      </w:pPr>
      <w:r>
        <w:rPr>
          <w:rFonts w:hint="eastAsia" w:ascii="黑体" w:hAnsi="黑体" w:eastAsia="黑体" w:cs="黑体"/>
          <w:kern w:val="0"/>
          <w:sz w:val="32"/>
          <w:szCs w:val="32"/>
        </w:rPr>
        <w:t>四、活动对象</w:t>
      </w:r>
    </w:p>
    <w:p>
      <w:pPr>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全省在校大学生</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五、活动内容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涵盖国家安全法律法规、总体国家安全观、国家安全制度、国家安全战略、国家安全法治、大学生安全行为与规范、安全常识及基本知识等。</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六、活动流程</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竞赛分为初赛、复赛、决赛三个阶段，以线上网络答题、线下现场对决相结合方式开展。</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（一）初赛。</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1.初赛时间：2月20日至3月31日。</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2.竞赛形式：初赛为网络答题，关注“山东学校安全基地”公众号，点击“知识竞赛”，注册登录后参与竞赛学习；点击“赛事回顾”了解往年竞赛内容；点击“竞赛题库”学习相关知识。</w:t>
      </w:r>
    </w:p>
    <w:p>
      <w:pPr>
        <w:pStyle w:val="2"/>
        <w:spacing w:before="156" w:beforeLines="50" w:after="156" w:afterLines="50"/>
        <w:jc w:val="center"/>
      </w:pPr>
      <w:r>
        <w:rPr>
          <w:rFonts w:hint="eastAsia"/>
        </w:rPr>
        <w:drawing>
          <wp:inline distT="0" distB="0" distL="114300" distR="114300">
            <wp:extent cx="1971675" cy="1971675"/>
            <wp:effectExtent l="0" t="0" r="9525" b="9525"/>
            <wp:docPr id="15" name="图片 1" descr="基地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基地二维码"/>
                    <pic:cNvPicPr>
                      <a:picLocks noChangeAspect="1"/>
                    </pic:cNvPicPr>
                  </pic:nvPicPr>
                  <pic:blipFill>
                    <a:blip r:embed="rId9"/>
                    <a:stretch>
                      <a:fillRect/>
                    </a:stretch>
                  </pic:blipFill>
                  <pic:spPr>
                    <a:xfrm>
                      <a:off x="0" y="0"/>
                      <a:ext cx="1971675" cy="1971675"/>
                    </a:xfrm>
                    <a:prstGeom prst="rect">
                      <a:avLst/>
                    </a:prstGeom>
                    <a:noFill/>
                    <a:ln>
                      <a:noFill/>
                    </a:ln>
                  </pic:spPr>
                </pic:pic>
              </a:graphicData>
            </a:graphic>
          </wp:inline>
        </w:drawing>
      </w:r>
    </w:p>
    <w:p>
      <w:pPr>
        <w:pStyle w:val="2"/>
        <w:jc w:val="center"/>
      </w:pPr>
      <w:r>
        <w:rPr>
          <w:rFonts w:hint="eastAsia" w:ascii="楷体_GB2312" w:hAnsi="楷体_GB2312" w:eastAsia="楷体_GB2312" w:cs="楷体_GB2312"/>
        </w:rPr>
        <w:t>（</w:t>
      </w:r>
      <w:r>
        <w:rPr>
          <w:rFonts w:hint="eastAsia" w:ascii="楷体_GB2312" w:hAnsi="楷体_GB2312" w:eastAsia="楷体_GB2312" w:cs="楷体_GB2312"/>
          <w:kern w:val="0"/>
        </w:rPr>
        <w:t>竞赛平台</w:t>
      </w:r>
      <w:r>
        <w:rPr>
          <w:rFonts w:hint="eastAsia" w:ascii="楷体_GB2312" w:hAnsi="楷体_GB2312" w:eastAsia="楷体_GB2312" w:cs="楷体_GB2312"/>
        </w:rPr>
        <w:t>）</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3.竞赛题型：初赛网络试卷共设50道题，分别为判断题、单选题、多选题。每题2分，满分100分，试题随机生成。</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4.答题要求：本阶段竞赛限时30分钟，学生在按动“正式答题”之前的所有操作均不计入答题时间。答题后，系统自动改卷，评判成绩。参赛者可进行成绩查询。正式答题次数限制为三次，以最高分计入初赛最终成绩。如发现学生作弊，取消该生及所在学校晋级复赛资格。</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5.晋级规则：初赛参与率与平均成绩各占晋级份额的50%，综合排名前1</w:t>
      </w:r>
      <w:r>
        <w:rPr>
          <w:rFonts w:ascii="仿宋_GB2312" w:eastAsia="仿宋_GB2312"/>
          <w:kern w:val="0"/>
          <w:sz w:val="32"/>
          <w:szCs w:val="32"/>
        </w:rPr>
        <w:t>6</w:t>
      </w:r>
      <w:r>
        <w:rPr>
          <w:rFonts w:hint="eastAsia" w:ascii="仿宋_GB2312" w:eastAsia="仿宋_GB2312"/>
          <w:kern w:val="0"/>
          <w:sz w:val="32"/>
          <w:szCs w:val="32"/>
        </w:rPr>
        <w:t>名的学校晋级复赛。晋级高校选派6名选手（初赛成绩须90分以上），4名正式队员（2男2女），2名候选队员，组成校队参加复（决）赛。</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（二）复赛。</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1.复赛时间：4月12日，如遇特殊情况推迟，以组委会通知为准。</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2.复赛地点：山东传媒职业学院</w:t>
      </w:r>
    </w:p>
    <w:p>
      <w:pPr>
        <w:spacing w:line="580" w:lineRule="exact"/>
        <w:ind w:firstLine="64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.晋级要求：1</w:t>
      </w:r>
      <w:r>
        <w:rPr>
          <w:rFonts w:ascii="仿宋_GB2312" w:eastAsia="仿宋_GB2312"/>
          <w:kern w:val="0"/>
          <w:sz w:val="32"/>
          <w:szCs w:val="32"/>
        </w:rPr>
        <w:t>6</w:t>
      </w:r>
      <w:r>
        <w:rPr>
          <w:rFonts w:hint="eastAsia" w:ascii="仿宋_GB2312" w:eastAsia="仿宋_GB2312"/>
          <w:kern w:val="0"/>
          <w:sz w:val="32"/>
          <w:szCs w:val="32"/>
        </w:rPr>
        <w:t>支代表队抽签A、B两组参加复赛，两组前四名晋级参加决赛。</w:t>
      </w:r>
    </w:p>
    <w:p>
      <w:pPr>
        <w:spacing w:line="580" w:lineRule="exact"/>
        <w:ind w:firstLine="64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.复赛流程：比赛分四轮进行。</w:t>
      </w:r>
    </w:p>
    <w:p>
      <w:pPr>
        <w:spacing w:line="58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（1）第一轮：小试牛刀</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比赛规则：本轮共10题，每题10分，满分100分。每支队伍根据题目要求同时在答题板上进行答题，填空答题时间为10秒，其余题型答题时间为5秒，答题时间倒计时结束后，各支队伍同时亮出答题板上的答案。每答对1题得10分，答错、超时均不得分。</w:t>
      </w:r>
    </w:p>
    <w:p>
      <w:pPr>
        <w:spacing w:line="58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（2）第二轮：谁与争锋</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比赛规则：本轮共10题，每题10分，满分100分。参赛队伍同时利用抢答器抢答，由抢到的参赛队伍进行作答，填空答题时间为10秒，其余题型答题时间为5秒。回答正确得10分，回答错误扣10分；抢答犯规的队伍不能回答且扣10分。</w:t>
      </w:r>
    </w:p>
    <w:p>
      <w:pPr>
        <w:spacing w:line="58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（3）第三轮：险象环生</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比赛规则：本环节风险题共8题，20分2道，40分3道，60分3道。按照前两轮成绩，由高分往低分，顺次选择风险题，平分者以按抢答器决定顺序。答对者得分，答错或者回答不完全扣分，各题型答题时间同前两轮。</w:t>
      </w:r>
    </w:p>
    <w:p>
      <w:pPr>
        <w:spacing w:line="580" w:lineRule="exact"/>
        <w:ind w:firstLine="643" w:firstLineChars="200"/>
        <w:rPr>
          <w:rFonts w:ascii="仿宋_GB2312" w:eastAsia="仿宋_GB2312"/>
          <w:b/>
          <w:bCs/>
          <w:kern w:val="0"/>
          <w:sz w:val="32"/>
          <w:szCs w:val="32"/>
        </w:rPr>
      </w:pPr>
      <w:r>
        <w:rPr>
          <w:rFonts w:hint="eastAsia" w:ascii="仿宋_GB2312" w:eastAsia="仿宋_GB2312"/>
          <w:b/>
          <w:bCs/>
          <w:kern w:val="0"/>
          <w:sz w:val="32"/>
          <w:szCs w:val="32"/>
        </w:rPr>
        <w:t>（4）第四轮：安全情景剧</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事先设定安全知识关键词，关键词包括国家安全及与校园安全有关的问题。每队根据抽签确定的安全知识关键词进行演绎。4名队员都必须参加，可以以小品、表演等多种形式表现，需要使用道具的请提前告知赛事组委会秘书处，每组限时4分钟，超时扣10分。评委根据编排创意（30分）、舞台表现力（30分）、知识点表达（60分）等进行综合打分。</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四轮比赛后，如小组内晋级名次出现平分情况，则通过按抢答器一决胜负，抢答规则同第二轮。</w:t>
      </w:r>
    </w:p>
    <w:p>
      <w:pPr>
        <w:spacing w:line="58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（三）决赛。</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1.决赛时间：4月14日。</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2.决赛地点：山东传媒职业学院</w:t>
      </w:r>
    </w:p>
    <w:p>
      <w:pPr>
        <w:spacing w:line="580" w:lineRule="exact"/>
        <w:ind w:firstLine="640" w:firstLineChars="200"/>
        <w:rPr>
          <w:rFonts w:ascii="仿宋_GB2312" w:hAnsi="仿宋_GB2312" w:eastAsia="仿宋_GB2312" w:cs="仿宋_GB2312"/>
          <w:b/>
          <w:bCs/>
          <w:color w:val="000000"/>
          <w:sz w:val="32"/>
          <w:szCs w:val="32"/>
        </w:rPr>
      </w:pPr>
      <w:r>
        <w:rPr>
          <w:rFonts w:hint="eastAsia" w:ascii="仿宋_GB2312" w:eastAsia="仿宋_GB2312"/>
          <w:kern w:val="0"/>
          <w:sz w:val="32"/>
          <w:szCs w:val="32"/>
        </w:rPr>
        <w:t>3.决赛流程：</w:t>
      </w:r>
      <w:r>
        <w:rPr>
          <w:rFonts w:hint="eastAsia" w:ascii="仿宋_GB2312" w:hAnsi="仿宋_GB2312" w:eastAsia="仿宋_GB2312" w:cs="仿宋_GB2312"/>
          <w:color w:val="000000"/>
          <w:sz w:val="32"/>
          <w:szCs w:val="32"/>
        </w:rPr>
        <w:t>总决赛由技能操作和理论竞答两大环节共同组成。</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（1）技能操作比赛</w:t>
      </w:r>
    </w:p>
    <w:p>
      <w:pPr>
        <w:spacing w:line="580"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技能操作比赛总共有两个环节，包括教学楼逃生、接力灭火。教学楼逃生：包括模拟教学楼初起火灾的应急处置、多种形式逃生、心肺复苏救助等。接力灭火：包括模拟敲车窗玻璃、多种方式灭火、水枪打靶等。细则另行通知。</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（2）理论竞答比赛</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前三轮同复赛。</w:t>
      </w:r>
    </w:p>
    <w:p>
      <w:pPr>
        <w:spacing w:line="580" w:lineRule="exact"/>
        <w:ind w:firstLine="640" w:firstLineChars="200"/>
        <w:rPr>
          <w:rFonts w:ascii="仿宋_GB2312" w:eastAsia="仿宋_GB2312"/>
          <w:b/>
          <w:bCs/>
          <w:kern w:val="0"/>
          <w:sz w:val="32"/>
          <w:szCs w:val="32"/>
        </w:rPr>
      </w:pPr>
      <w:r>
        <w:rPr>
          <w:rFonts w:hint="eastAsia" w:ascii="仿宋_GB2312" w:eastAsia="仿宋_GB2312"/>
          <w:kern w:val="0"/>
          <w:sz w:val="32"/>
          <w:szCs w:val="32"/>
        </w:rPr>
        <w:t>终极PK：王者对决。</w:t>
      </w:r>
    </w:p>
    <w:p>
      <w:pPr>
        <w:spacing w:line="580" w:lineRule="exact"/>
        <w:ind w:firstLine="640" w:firstLineChars="200"/>
        <w:rPr>
          <w:rFonts w:ascii="仿宋_GB2312" w:hAnsi="仿宋_GB2312" w:eastAsia="仿宋_GB2312" w:cs="仿宋_GB2312"/>
          <w:kern w:val="0"/>
          <w:sz w:val="32"/>
          <w:szCs w:val="32"/>
        </w:rPr>
      </w:pPr>
      <w:r>
        <w:rPr>
          <w:rFonts w:hint="eastAsia" w:ascii="仿宋_GB2312" w:eastAsia="仿宋_GB2312"/>
          <w:kern w:val="0"/>
          <w:sz w:val="32"/>
          <w:szCs w:val="32"/>
        </w:rPr>
        <w:t>上述三轮成绩及技能操作比赛成绩综合排名前两名的两支队伍参加本轮比赛。以“践行</w:t>
      </w:r>
      <w:r>
        <w:rPr>
          <w:rFonts w:hint="eastAsia" w:ascii="仿宋_GB2312" w:hAnsi="仿宋_GB2312" w:eastAsia="仿宋_GB2312" w:cs="仿宋_GB2312"/>
          <w:kern w:val="0"/>
          <w:sz w:val="32"/>
          <w:szCs w:val="32"/>
        </w:rPr>
        <w:t>总体国家安全观”为主题进行演讲比赛，规则如下：</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①演讲人员限本队队员，每队限时4分钟，请提前3个工作日将演讲稿或辅助PPT等材料提交组委会秘书处审阅。</w:t>
      </w:r>
    </w:p>
    <w:p>
      <w:pPr>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②本环节</w:t>
      </w:r>
      <w:r>
        <w:rPr>
          <w:rFonts w:ascii="仿宋_GB2312" w:eastAsia="仿宋_GB2312"/>
          <w:kern w:val="0"/>
          <w:sz w:val="32"/>
          <w:szCs w:val="32"/>
        </w:rPr>
        <w:t>满分</w:t>
      </w:r>
      <w:r>
        <w:rPr>
          <w:rFonts w:hint="eastAsia" w:ascii="仿宋_GB2312" w:eastAsia="仿宋_GB2312"/>
          <w:kern w:val="0"/>
          <w:sz w:val="32"/>
          <w:szCs w:val="32"/>
        </w:rPr>
        <w:t>120分</w:t>
      </w:r>
      <w:r>
        <w:rPr>
          <w:rFonts w:ascii="仿宋_GB2312" w:eastAsia="仿宋_GB2312"/>
          <w:kern w:val="0"/>
          <w:sz w:val="32"/>
          <w:szCs w:val="32"/>
        </w:rPr>
        <w:t>，</w:t>
      </w:r>
      <w:r>
        <w:rPr>
          <w:rFonts w:hint="eastAsia" w:ascii="仿宋_GB2312" w:eastAsia="仿宋_GB2312"/>
          <w:kern w:val="0"/>
          <w:sz w:val="32"/>
          <w:szCs w:val="32"/>
        </w:rPr>
        <w:t>其中演讲内容（观点正确、主题深刻、逻辑严谨、说服力强等）60分；演讲技巧（普通话标准、语言生动形象等）30分；演讲效果（感召力强等）30分。</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七、奖项设置</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本次比赛设团体奖和个人奖</w:t>
      </w:r>
      <w:r>
        <w:rPr>
          <w:rFonts w:hint="eastAsia" w:ascii="仿宋_GB2312" w:hAnsi="宋体" w:eastAsia="仿宋_GB2312" w:cs="仿宋_GB2312"/>
          <w:color w:val="000000"/>
          <w:kern w:val="0"/>
          <w:sz w:val="32"/>
          <w:szCs w:val="32"/>
          <w:lang w:bidi="ar"/>
        </w:rPr>
        <w:t>。</w:t>
      </w:r>
    </w:p>
    <w:p>
      <w:pPr>
        <w:spacing w:line="580" w:lineRule="exact"/>
        <w:ind w:firstLine="640" w:firstLineChars="200"/>
        <w:rPr>
          <w:rFonts w:ascii="仿宋_GB2312" w:eastAsia="仿宋_GB2312"/>
          <w:kern w:val="0"/>
          <w:sz w:val="32"/>
          <w:szCs w:val="32"/>
        </w:rPr>
      </w:pPr>
      <w:r>
        <w:rPr>
          <w:rFonts w:hint="eastAsia" w:ascii="楷体_GB2312" w:hAnsi="楷体_GB2312" w:eastAsia="楷体_GB2312" w:cs="楷体_GB2312"/>
          <w:kern w:val="0"/>
          <w:sz w:val="32"/>
          <w:szCs w:val="32"/>
        </w:rPr>
        <w:t>（一）团体奖。</w:t>
      </w:r>
      <w:r>
        <w:rPr>
          <w:rFonts w:hint="eastAsia" w:ascii="仿宋_GB2312" w:eastAsia="仿宋_GB2312"/>
          <w:kern w:val="0"/>
          <w:sz w:val="32"/>
          <w:szCs w:val="32"/>
        </w:rPr>
        <w:t>特等奖1个、一等奖2个、二等奖5个、三等奖8个、优秀组织奖20个。</w:t>
      </w:r>
    </w:p>
    <w:p>
      <w:pPr>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（二）个人奖。</w:t>
      </w:r>
      <w:r>
        <w:rPr>
          <w:rFonts w:hint="eastAsia" w:ascii="仿宋_GB2312" w:eastAsia="仿宋_GB2312"/>
          <w:kern w:val="0"/>
          <w:sz w:val="32"/>
          <w:szCs w:val="32"/>
        </w:rPr>
        <w:t>优秀指导教师奖32个。参赛学生一等奖100个、二等奖200个、三等奖300个。</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八、活动要求</w:t>
      </w:r>
    </w:p>
    <w:p>
      <w:pPr>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w:t>
      </w:r>
      <w:r>
        <w:rPr>
          <w:rFonts w:hint="eastAsia" w:ascii="楷体_GB2312" w:hAnsi="宋体" w:eastAsia="楷体_GB2312" w:cs="楷体_GB2312"/>
          <w:color w:val="000000"/>
          <w:kern w:val="0"/>
          <w:sz w:val="32"/>
          <w:szCs w:val="32"/>
          <w:lang w:bidi="ar"/>
        </w:rPr>
        <w:t>高度重视。</w:t>
      </w:r>
      <w:r>
        <w:rPr>
          <w:rFonts w:hint="eastAsia" w:ascii="仿宋_GB2312" w:hAnsi="仿宋_GB2312" w:eastAsia="仿宋_GB2312" w:cs="仿宋_GB2312"/>
          <w:kern w:val="0"/>
          <w:sz w:val="32"/>
          <w:szCs w:val="32"/>
        </w:rPr>
        <w:t>本次竞赛是激发大学生全面学习国家安全知识，增强国家安全意识的一次重要考验，各高校要</w:t>
      </w:r>
      <w:r>
        <w:rPr>
          <w:rFonts w:hint="eastAsia" w:ascii="仿宋_GB2312" w:hAnsi="宋体" w:eastAsia="仿宋_GB2312" w:cs="仿宋_GB2312"/>
          <w:color w:val="000000"/>
          <w:kern w:val="0"/>
          <w:sz w:val="32"/>
          <w:szCs w:val="32"/>
          <w:lang w:bidi="ar"/>
        </w:rPr>
        <w:t>以</w:t>
      </w:r>
      <w:r>
        <w:rPr>
          <w:rFonts w:hint="eastAsia" w:ascii="仿宋_GB2312" w:hAnsi="仿宋_GB2312" w:eastAsia="仿宋_GB2312" w:cs="仿宋_GB2312"/>
          <w:kern w:val="0"/>
          <w:sz w:val="32"/>
          <w:szCs w:val="32"/>
        </w:rPr>
        <w:t>此为契机，</w:t>
      </w:r>
      <w:r>
        <w:rPr>
          <w:rFonts w:hint="eastAsia" w:ascii="仿宋_GB2312" w:hAnsi="宋体" w:eastAsia="仿宋_GB2312" w:cs="仿宋_GB2312"/>
          <w:color w:val="000000"/>
          <w:kern w:val="0"/>
          <w:sz w:val="32"/>
          <w:szCs w:val="32"/>
          <w:lang w:bidi="ar"/>
        </w:rPr>
        <w:t>发动组织好在校大学生参赛，以赛促学，以学促行，以行促效。</w:t>
      </w:r>
    </w:p>
    <w:p>
      <w:pPr>
        <w:spacing w:line="580" w:lineRule="exact"/>
        <w:ind w:firstLine="640" w:firstLineChars="200"/>
        <w:rPr>
          <w:rFonts w:ascii="仿宋_GB2312" w:hAnsi="仿宋_GB2312" w:eastAsia="仿宋_GB2312" w:cs="仿宋_GB2312"/>
          <w:kern w:val="0"/>
          <w:sz w:val="32"/>
          <w:szCs w:val="32"/>
        </w:rPr>
      </w:pPr>
      <w:r>
        <w:rPr>
          <w:rFonts w:hint="eastAsia" w:ascii="楷体_GB2312" w:hAnsi="宋体" w:eastAsia="楷体_GB2312" w:cs="楷体_GB2312"/>
          <w:color w:val="000000"/>
          <w:kern w:val="0"/>
          <w:sz w:val="32"/>
          <w:szCs w:val="32"/>
          <w:lang w:bidi="ar"/>
        </w:rPr>
        <w:t>（二）广泛宣传。</w:t>
      </w:r>
      <w:r>
        <w:rPr>
          <w:rFonts w:hint="eastAsia" w:ascii="仿宋_GB2312" w:hAnsi="仿宋_GB2312" w:eastAsia="仿宋_GB2312" w:cs="仿宋_GB2312"/>
          <w:kern w:val="0"/>
          <w:sz w:val="32"/>
          <w:szCs w:val="32"/>
        </w:rPr>
        <w:t>各高校要创新形式</w:t>
      </w:r>
      <w:bookmarkStart w:id="0" w:name="_GoBack"/>
      <w:bookmarkEnd w:id="0"/>
      <w:r>
        <w:rPr>
          <w:rFonts w:hint="eastAsia" w:ascii="仿宋_GB2312" w:hAnsi="仿宋_GB2312" w:eastAsia="仿宋_GB2312" w:cs="仿宋_GB2312"/>
          <w:kern w:val="0"/>
          <w:sz w:val="32"/>
          <w:szCs w:val="32"/>
        </w:rPr>
        <w:t>，丰富载体，利用校园网、公众号、视频号等全媒体宣传平台，开展国家安全宣传，</w:t>
      </w:r>
      <w:r>
        <w:rPr>
          <w:rFonts w:hint="eastAsia" w:ascii="仿宋_GB2312" w:hAnsi="宋体" w:eastAsia="仿宋_GB2312" w:cs="仿宋_GB2312"/>
          <w:color w:val="000000"/>
          <w:kern w:val="0"/>
          <w:sz w:val="32"/>
          <w:szCs w:val="32"/>
          <w:lang w:bidi="ar"/>
        </w:rPr>
        <w:t>积极营造国家安全教育的良好氛围。</w:t>
      </w:r>
    </w:p>
    <w:p>
      <w:pPr>
        <w:spacing w:line="580" w:lineRule="exact"/>
        <w:ind w:firstLine="640" w:firstLineChars="200"/>
        <w:rPr>
          <w:rFonts w:hint="eastAsia" w:ascii="仿宋_GB2312" w:hAnsi="仿宋_GB2312" w:eastAsia="仿宋_GB2312" w:cs="仿宋_GB2312"/>
          <w:kern w:val="0"/>
          <w:sz w:val="32"/>
          <w:szCs w:val="32"/>
        </w:rPr>
      </w:pPr>
      <w:r>
        <w:rPr>
          <w:rFonts w:hint="eastAsia" w:ascii="楷体_GB2312" w:hAnsi="宋体" w:eastAsia="楷体_GB2312" w:cs="楷体_GB2312"/>
          <w:color w:val="000000"/>
          <w:kern w:val="0"/>
          <w:sz w:val="32"/>
          <w:szCs w:val="32"/>
          <w:lang w:bidi="ar"/>
        </w:rPr>
        <w:t>（三）加强协调。</w:t>
      </w:r>
      <w:r>
        <w:rPr>
          <w:rFonts w:hint="eastAsia" w:ascii="仿宋_GB2312" w:hAnsi="仿宋_GB2312" w:eastAsia="仿宋_GB2312" w:cs="仿宋_GB2312"/>
          <w:kern w:val="0"/>
          <w:sz w:val="32"/>
          <w:szCs w:val="32"/>
        </w:rPr>
        <w:t>本次竞赛活动实行联络员制度，各学院要选定一名联络员，于3月20日之前，将联络员名单报送安全保卫处，线下比赛时，各代表队成员服装由各队自行统一。</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其他未尽事宜，请与安全保卫处联系。</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联系人：曹老师，电话：0533一2781505</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邮箱： </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"mailto:wwb@sdut.edu.cn"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wwb@sdut.edu.cn</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p>
    <w:p>
      <w:pPr>
        <w:spacing w:line="580" w:lineRule="exact"/>
        <w:ind w:firstLine="640" w:firstLineChars="200"/>
        <w:rPr>
          <w:rFonts w:hint="eastAsia" w:ascii="仿宋_GB2312" w:hAnsi="仿宋_GB2312" w:eastAsia="仿宋_GB2312" w:cs="仿宋_GB2312"/>
          <w:kern w:val="0"/>
          <w:sz w:val="32"/>
          <w:szCs w:val="32"/>
        </w:rPr>
        <w:sectPr>
          <w:footerReference r:id="rId6" w:type="first"/>
          <w:footerReference r:id="rId5" w:type="default"/>
          <w:pgSz w:w="11906" w:h="16838"/>
          <w:pgMar w:top="1984" w:right="1531" w:bottom="1985" w:left="1531" w:header="851" w:footer="1644" w:gutter="0"/>
          <w:cols w:space="720" w:num="1"/>
          <w:docGrid w:type="lines" w:linePitch="312" w:charSpace="0"/>
        </w:sectPr>
      </w:pPr>
    </w:p>
    <w:p>
      <w:pPr>
        <w:spacing w:line="580" w:lineRule="exact"/>
        <w:jc w:val="center"/>
        <w:rPr>
          <w:rFonts w:ascii="方正小标宋简体" w:hAnsi="方正小标宋简体" w:eastAsia="方正小标宋简体" w:cs="方正小标宋简体"/>
          <w:kern w:val="0"/>
          <w:sz w:val="44"/>
          <w:szCs w:val="44"/>
        </w:rPr>
      </w:pPr>
    </w:p>
    <w:p>
      <w:pPr>
        <w:spacing w:line="580" w:lineRule="exact"/>
        <w:jc w:val="center"/>
        <w:rPr>
          <w:rFonts w:ascii="方正小标宋简体"/>
          <w:kern w:val="0"/>
          <w:sz w:val="20"/>
        </w:rPr>
      </w:pPr>
      <w:r>
        <w:rPr>
          <w:rFonts w:hint="eastAsia" w:ascii="方正小标宋简体" w:hAnsi="方正小标宋简体" w:eastAsia="方正小标宋简体" w:cs="方正小标宋简体"/>
          <w:kern w:val="0"/>
          <w:sz w:val="44"/>
          <w:szCs w:val="44"/>
        </w:rPr>
        <w:t>“中国电信杯”第三届大学生国家安全知识竞赛联络员报名表</w:t>
      </w:r>
    </w:p>
    <w:tbl>
      <w:tblPr>
        <w:tblStyle w:val="5"/>
        <w:tblpPr w:leftFromText="180" w:rightFromText="180" w:vertAnchor="text" w:horzAnchor="page" w:tblpXSpec="center" w:tblpY="66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1935"/>
        <w:gridCol w:w="2136"/>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黑体" w:hAnsi="黑体" w:eastAsia="黑体" w:cs="黑体"/>
                <w:kern w:val="0"/>
                <w:sz w:val="28"/>
                <w:szCs w:val="28"/>
              </w:rPr>
            </w:pPr>
            <w:r>
              <w:rPr>
                <w:rFonts w:hint="eastAsia" w:ascii="黑体" w:hAnsi="黑体" w:eastAsia="黑体" w:cs="黑体"/>
                <w:kern w:val="0"/>
                <w:sz w:val="28"/>
                <w:szCs w:val="28"/>
              </w:rPr>
              <w:t>学院名称</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黑体" w:hAnsi="黑体" w:eastAsia="黑体" w:cs="黑体"/>
                <w:kern w:val="0"/>
                <w:sz w:val="28"/>
                <w:szCs w:val="28"/>
              </w:rPr>
            </w:pPr>
            <w:r>
              <w:rPr>
                <w:rFonts w:hint="eastAsia" w:ascii="黑体" w:hAnsi="黑体" w:eastAsia="黑体" w:cs="黑体"/>
                <w:kern w:val="0"/>
                <w:sz w:val="28"/>
                <w:szCs w:val="28"/>
              </w:rPr>
              <w:t>姓名</w:t>
            </w: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黑体" w:hAnsi="黑体" w:eastAsia="黑体" w:cs="黑体"/>
                <w:kern w:val="0"/>
                <w:sz w:val="28"/>
                <w:szCs w:val="28"/>
              </w:rPr>
            </w:pPr>
            <w:r>
              <w:rPr>
                <w:rFonts w:hint="eastAsia" w:ascii="黑体" w:hAnsi="黑体" w:eastAsia="黑体" w:cs="黑体"/>
                <w:kern w:val="0"/>
                <w:sz w:val="28"/>
                <w:szCs w:val="28"/>
              </w:rPr>
              <w:t>联系方式</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黑体" w:hAnsi="黑体" w:eastAsia="黑体" w:cs="黑体"/>
                <w:kern w:val="0"/>
                <w:sz w:val="28"/>
                <w:szCs w:val="28"/>
              </w:rPr>
            </w:pPr>
            <w:r>
              <w:rPr>
                <w:rFonts w:hint="eastAsia" w:ascii="黑体" w:hAnsi="黑体" w:eastAsia="黑体" w:cs="黑体"/>
                <w:kern w:val="0"/>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4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185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0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c>
          <w:tcPr>
            <w:tcW w:w="235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b/>
                <w:bCs/>
                <w:kern w:val="0"/>
                <w:sz w:val="28"/>
                <w:szCs w:val="28"/>
              </w:rPr>
            </w:pPr>
          </w:p>
        </w:tc>
      </w:tr>
    </w:tbl>
    <w:p>
      <w:pPr>
        <w:spacing w:line="580" w:lineRule="exact"/>
        <w:jc w:val="center"/>
        <w:outlineLvl w:val="0"/>
        <w:rPr>
          <w:rFonts w:ascii="仿宋" w:hAnsi="仿宋" w:eastAsia="仿宋" w:cs="仿宋"/>
          <w:b/>
          <w:bCs/>
          <w:kern w:val="0"/>
          <w:sz w:val="28"/>
          <w:szCs w:val="28"/>
        </w:rPr>
      </w:pPr>
    </w:p>
    <w:p>
      <w:pPr>
        <w:spacing w:line="560" w:lineRule="exact"/>
        <w:ind w:firstLine="640" w:firstLineChars="200"/>
        <w:rPr>
          <w:rFonts w:ascii="仿宋" w:hAnsi="仿宋" w:eastAsia="仿宋"/>
          <w:sz w:val="32"/>
          <w:szCs w:val="32"/>
        </w:rPr>
      </w:pPr>
    </w:p>
    <w:p/>
    <w:sectPr>
      <w:footerReference r:id="rId7"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6</w:t>
                          </w:r>
                          <w:r>
                            <w:rPr>
                              <w:rStyle w:val="7"/>
                              <w:sz w:val="28"/>
                              <w:szCs w:val="28"/>
                            </w:rPr>
                            <w:fldChar w:fldCharType="end"/>
                          </w:r>
                          <w:r>
                            <w:rPr>
                              <w:rStyle w:val="7"/>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pPr>
                      <w:pStyle w:val="3"/>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6</w:t>
                    </w:r>
                    <w:r>
                      <w:rPr>
                        <w:rStyle w:val="7"/>
                        <w:sz w:val="28"/>
                        <w:szCs w:val="28"/>
                      </w:rPr>
                      <w:fldChar w:fldCharType="end"/>
                    </w:r>
                    <w:r>
                      <w:rPr>
                        <w:rStyle w:val="7"/>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16</w:t>
    </w:r>
    <w:r>
      <w:rPr>
        <w:rStyle w:val="7"/>
        <w:sz w:val="28"/>
        <w:szCs w:val="28"/>
      </w:rPr>
      <w:fldChar w:fldCharType="end"/>
    </w:r>
    <w:r>
      <w:rPr>
        <w:rStyle w:val="7"/>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7</w:t>
                          </w:r>
                          <w:r>
                            <w:rPr>
                              <w:rStyle w:val="7"/>
                              <w:sz w:val="28"/>
                              <w:szCs w:val="28"/>
                            </w:rPr>
                            <w:fldChar w:fldCharType="end"/>
                          </w:r>
                          <w:r>
                            <w:rPr>
                              <w:rStyle w:val="7"/>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pStyle w:val="3"/>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7</w:t>
                    </w:r>
                    <w:r>
                      <w:rPr>
                        <w:rStyle w:val="7"/>
                        <w:sz w:val="28"/>
                        <w:szCs w:val="28"/>
                      </w:rPr>
                      <w:fldChar w:fldCharType="end"/>
                    </w:r>
                    <w:r>
                      <w:rPr>
                        <w:rStyle w:val="7"/>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0YmNiNDJlYmYwOGRkMTg4ZTNhNjZlZDdmMGFhMDkifQ=="/>
  </w:docVars>
  <w:rsids>
    <w:rsidRoot w:val="0078297F"/>
    <w:rsid w:val="0078297F"/>
    <w:rsid w:val="008E65C1"/>
    <w:rsid w:val="00987DC7"/>
    <w:rsid w:val="00DB7E1A"/>
    <w:rsid w:val="00F14AB3"/>
    <w:rsid w:val="77D4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unhideWhenUsed/>
    <w:qFormat/>
    <w:uiPriority w:val="0"/>
    <w:rPr>
      <w:rFonts w:ascii="宋体" w:hAnsi="宋体" w:cs="宋体"/>
      <w:sz w:val="32"/>
      <w:szCs w:val="32"/>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styleId="8">
    <w:name w:val="Hyperlink"/>
    <w:basedOn w:val="6"/>
    <w:autoRedefine/>
    <w:qFormat/>
    <w:uiPriority w:val="0"/>
    <w:rPr>
      <w:color w:val="000000"/>
      <w:u w:val="none"/>
    </w:rPr>
  </w:style>
  <w:style w:type="character" w:customStyle="1" w:styleId="9">
    <w:name w:val="正文文本 Char"/>
    <w:basedOn w:val="6"/>
    <w:link w:val="2"/>
    <w:uiPriority w:val="0"/>
    <w:rPr>
      <w:rFonts w:ascii="宋体" w:hAnsi="宋体" w:eastAsia="宋体" w:cs="宋体"/>
      <w:sz w:val="32"/>
      <w:szCs w:val="32"/>
    </w:rPr>
  </w:style>
  <w:style w:type="character" w:customStyle="1" w:styleId="10">
    <w:name w:val="页脚 Char"/>
    <w:basedOn w:val="6"/>
    <w:link w:val="3"/>
    <w:autoRedefine/>
    <w:qFormat/>
    <w:uiPriority w:val="0"/>
    <w:rPr>
      <w:rFonts w:ascii="Times New Roman" w:hAnsi="Times New Roman" w:eastAsia="宋体" w:cs="Times New Roman"/>
      <w:sz w:val="18"/>
      <w:szCs w:val="18"/>
    </w:rPr>
  </w:style>
  <w:style w:type="character" w:customStyle="1" w:styleId="11">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345</Words>
  <Characters>1967</Characters>
  <Lines>16</Lines>
  <Paragraphs>4</Paragraphs>
  <TotalTime>375</TotalTime>
  <ScaleCrop>false</ScaleCrop>
  <LinksUpToDate>false</LinksUpToDate>
  <CharactersWithSpaces>2308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2024-03-15T00:28:00Z</dcterms:created>
  <dc:creator>bwc001</dc:creator>
  <cp:lastModifiedBy>此人已分身</cp:lastModifiedBy>
  <dcterms:modified xsi:type="dcterms:W3CDTF">2024-03-19T07:21:36Z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EB08BD953B284CDDB16FF281DA94FA7A_12</vt:lpwstr>
  </property>
</Properties>
</file>