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53ADE">
      <w:pPr>
        <w:spacing w:before="101" w:line="227" w:lineRule="auto"/>
        <w:ind w:left="1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附件1</w:t>
      </w:r>
    </w:p>
    <w:p w14:paraId="518A440E">
      <w:pPr>
        <w:spacing w:line="244" w:lineRule="auto"/>
        <w:rPr>
          <w:rFonts w:ascii="Arial"/>
          <w:sz w:val="21"/>
        </w:rPr>
      </w:pPr>
    </w:p>
    <w:p w14:paraId="64B2091D">
      <w:pPr>
        <w:spacing w:line="245" w:lineRule="auto"/>
        <w:rPr>
          <w:rFonts w:ascii="Arial"/>
          <w:sz w:val="21"/>
        </w:rPr>
      </w:pPr>
    </w:p>
    <w:p w14:paraId="0DA77280">
      <w:pPr>
        <w:spacing w:before="184" w:line="187" w:lineRule="auto"/>
        <w:ind w:left="1454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napToGrid w:val="0"/>
          <w:color w:val="000000"/>
          <w:spacing w:val="9"/>
          <w:kern w:val="0"/>
          <w:sz w:val="43"/>
          <w:szCs w:val="43"/>
          <w:lang w:val="en-US" w:eastAsia="en-US" w:bidi="ar-SA"/>
        </w:rPr>
        <w:t>开学前后学校安全重点任务清单</w:t>
      </w:r>
      <w:bookmarkStart w:id="0" w:name="_GoBack"/>
      <w:bookmarkEnd w:id="0"/>
    </w:p>
    <w:p w14:paraId="5009AB8B">
      <w:pPr>
        <w:spacing w:line="291" w:lineRule="auto"/>
        <w:rPr>
          <w:rFonts w:ascii="Arial"/>
          <w:sz w:val="21"/>
        </w:rPr>
      </w:pPr>
    </w:p>
    <w:p w14:paraId="4486220C">
      <w:pPr>
        <w:spacing w:line="292" w:lineRule="auto"/>
        <w:rPr>
          <w:rFonts w:ascii="Arial"/>
          <w:sz w:val="21"/>
        </w:rPr>
      </w:pPr>
    </w:p>
    <w:p w14:paraId="5079E6E3">
      <w:pPr>
        <w:spacing w:before="101" w:line="222" w:lineRule="auto"/>
        <w:ind w:left="135"/>
        <w:rPr>
          <w:rFonts w:ascii="楷体" w:hAnsi="楷体" w:eastAsia="楷体" w:cs="楷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一、开学前阶段</w:t>
      </w:r>
      <w:r>
        <w:rPr>
          <w:rFonts w:ascii="楷体" w:hAnsi="楷体" w:eastAsia="楷体" w:cs="楷体"/>
          <w:spacing w:val="8"/>
          <w:sz w:val="31"/>
          <w:szCs w:val="31"/>
        </w:rPr>
        <w:t>（学生报到前完成）</w:t>
      </w:r>
    </w:p>
    <w:p w14:paraId="7D625F96">
      <w:pPr>
        <w:spacing w:line="19" w:lineRule="exact"/>
      </w:pPr>
    </w:p>
    <w:tbl>
      <w:tblPr>
        <w:tblStyle w:val="5"/>
        <w:tblW w:w="92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8046"/>
      </w:tblGrid>
      <w:tr w14:paraId="126E1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252" w:type="dxa"/>
            <w:vAlign w:val="top"/>
          </w:tcPr>
          <w:p w14:paraId="55375C7A">
            <w:pPr>
              <w:spacing w:before="235" w:line="218" w:lineRule="auto"/>
              <w:ind w:left="1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工作任务</w:t>
            </w:r>
          </w:p>
        </w:tc>
        <w:tc>
          <w:tcPr>
            <w:tcW w:w="8046" w:type="dxa"/>
            <w:vAlign w:val="top"/>
          </w:tcPr>
          <w:p w14:paraId="7D25E4BD">
            <w:pPr>
              <w:spacing w:before="234" w:line="220" w:lineRule="auto"/>
              <w:ind w:left="35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具体要求</w:t>
            </w:r>
          </w:p>
        </w:tc>
      </w:tr>
      <w:tr w14:paraId="7274B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4053C89E">
            <w:pPr>
              <w:spacing w:line="321" w:lineRule="auto"/>
              <w:rPr>
                <w:rFonts w:ascii="Arial"/>
                <w:sz w:val="21"/>
              </w:rPr>
            </w:pPr>
          </w:p>
          <w:p w14:paraId="76F1B132">
            <w:pPr>
              <w:spacing w:line="322" w:lineRule="auto"/>
              <w:rPr>
                <w:rFonts w:ascii="Arial"/>
                <w:sz w:val="21"/>
              </w:rPr>
            </w:pPr>
          </w:p>
          <w:p w14:paraId="00A448E4">
            <w:pPr>
              <w:pStyle w:val="6"/>
              <w:spacing w:before="78" w:line="217" w:lineRule="auto"/>
              <w:ind w:left="160"/>
            </w:pPr>
            <w:r>
              <w:rPr>
                <w:spacing w:val="-4"/>
              </w:rPr>
              <w:t>制度机制</w:t>
            </w:r>
          </w:p>
        </w:tc>
        <w:tc>
          <w:tcPr>
            <w:tcW w:w="8046" w:type="dxa"/>
            <w:vAlign w:val="top"/>
          </w:tcPr>
          <w:p w14:paraId="01D883D9">
            <w:pPr>
              <w:pStyle w:val="6"/>
              <w:spacing w:before="113" w:line="277" w:lineRule="auto"/>
              <w:ind w:left="114" w:right="110" w:firstLine="16"/>
              <w:jc w:val="both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学校全面落实“三管三必须”和“一岗双责”，以学校文件明确领导班子</w:t>
            </w:r>
            <w:r>
              <w:rPr>
                <w:spacing w:val="-3"/>
              </w:rPr>
              <w:t>成员和内设机构安全管理职责</w:t>
            </w:r>
          </w:p>
        </w:tc>
      </w:tr>
      <w:tr w14:paraId="46DC6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3ED394C8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0D230907">
            <w:pPr>
              <w:pStyle w:val="6"/>
              <w:spacing w:before="113" w:line="22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修订完善学校各项安全管理制度和应急疏散预案</w:t>
            </w:r>
          </w:p>
        </w:tc>
      </w:tr>
      <w:tr w14:paraId="06BE9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35747804">
            <w:pPr>
              <w:rPr>
                <w:rFonts w:ascii="Arial"/>
                <w:sz w:val="21"/>
              </w:rPr>
            </w:pPr>
          </w:p>
          <w:p w14:paraId="0779DD7B">
            <w:pPr>
              <w:rPr>
                <w:rFonts w:ascii="Arial"/>
                <w:sz w:val="21"/>
              </w:rPr>
            </w:pPr>
          </w:p>
          <w:p w14:paraId="6A365F0F">
            <w:pPr>
              <w:rPr>
                <w:rFonts w:ascii="Arial"/>
                <w:sz w:val="21"/>
              </w:rPr>
            </w:pPr>
          </w:p>
          <w:p w14:paraId="504429BB">
            <w:pPr>
              <w:spacing w:line="241" w:lineRule="auto"/>
              <w:rPr>
                <w:rFonts w:ascii="Arial"/>
                <w:sz w:val="21"/>
              </w:rPr>
            </w:pPr>
          </w:p>
          <w:p w14:paraId="1C3D0A61">
            <w:pPr>
              <w:spacing w:line="241" w:lineRule="auto"/>
              <w:rPr>
                <w:rFonts w:ascii="Arial"/>
                <w:sz w:val="21"/>
              </w:rPr>
            </w:pPr>
          </w:p>
          <w:p w14:paraId="716440D9">
            <w:pPr>
              <w:spacing w:line="241" w:lineRule="auto"/>
              <w:rPr>
                <w:rFonts w:ascii="Arial"/>
                <w:sz w:val="21"/>
              </w:rPr>
            </w:pPr>
          </w:p>
          <w:p w14:paraId="2EB4F072">
            <w:pPr>
              <w:pStyle w:val="6"/>
              <w:spacing w:before="78" w:line="217" w:lineRule="auto"/>
              <w:ind w:left="155"/>
            </w:pPr>
            <w:r>
              <w:rPr>
                <w:spacing w:val="-3"/>
              </w:rPr>
              <w:t>校舍建筑</w:t>
            </w:r>
          </w:p>
        </w:tc>
        <w:tc>
          <w:tcPr>
            <w:tcW w:w="8046" w:type="dxa"/>
            <w:vAlign w:val="top"/>
          </w:tcPr>
          <w:p w14:paraId="14471BA8">
            <w:pPr>
              <w:pStyle w:val="6"/>
              <w:spacing w:before="113" w:line="277" w:lineRule="auto"/>
              <w:ind w:left="112" w:right="42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-6"/>
              </w:rPr>
              <w:t>3.</w:t>
            </w:r>
            <w:r>
              <w:rPr>
                <w:spacing w:val="-6"/>
              </w:rPr>
              <w:t>对教学楼、宿舍楼、食堂、体育馆、围墙、挡土墙等建筑物</w:t>
            </w:r>
            <w:r>
              <w:rPr>
                <w:spacing w:val="-7"/>
              </w:rPr>
              <w:t>进行全面排查，</w:t>
            </w:r>
            <w:r>
              <w:rPr>
                <w:spacing w:val="-3"/>
              </w:rPr>
              <w:t>重点检查地基沉降、承重构件裂缝或变形、屋面渗漏、墙体开裂</w:t>
            </w:r>
            <w:r>
              <w:rPr>
                <w:spacing w:val="-4"/>
              </w:rPr>
              <w:t>、栏杆稳固</w:t>
            </w:r>
            <w:r>
              <w:t>度</w:t>
            </w:r>
          </w:p>
        </w:tc>
      </w:tr>
      <w:tr w14:paraId="1AE6A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132FE5D8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568D713C">
            <w:pPr>
              <w:pStyle w:val="6"/>
              <w:spacing w:before="114" w:line="262" w:lineRule="auto"/>
              <w:ind w:left="114" w:right="111" w:hanging="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核查体育馆、图书馆、食堂、礼堂等大跨度钢结构建筑是否按</w:t>
            </w:r>
            <w:r>
              <w:rPr>
                <w:spacing w:val="-2"/>
              </w:rPr>
              <w:t>规定维护保</w:t>
            </w:r>
            <w:r>
              <w:rPr>
                <w:spacing w:val="-1"/>
              </w:rPr>
              <w:t>养，屋面是否堆放杂物，连接节点是否锈蚀</w:t>
            </w:r>
          </w:p>
        </w:tc>
      </w:tr>
      <w:tr w14:paraId="7DD93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60E2AC99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65EF72CF">
            <w:pPr>
              <w:pStyle w:val="6"/>
              <w:spacing w:before="114" w:line="214" w:lineRule="auto"/>
              <w:ind w:left="115"/>
            </w:pPr>
            <w:r>
              <w:rPr>
                <w:rFonts w:ascii="Times New Roman" w:hAnsi="Times New Roman" w:eastAsia="Times New Roman" w:cs="Times New Roman"/>
                <w:spacing w:val="-5"/>
              </w:rPr>
              <w:t>5.</w:t>
            </w:r>
            <w:r>
              <w:rPr>
                <w:spacing w:val="-5"/>
              </w:rPr>
              <w:t>核查牌坊类建筑物（构筑物</w:t>
            </w:r>
            <w:r>
              <w:rPr>
                <w:spacing w:val="-6"/>
              </w:rPr>
              <w:t>），</w:t>
            </w:r>
            <w:r>
              <w:rPr>
                <w:spacing w:val="-5"/>
              </w:rPr>
              <w:t>屋顶和墙面悬挂物</w:t>
            </w:r>
            <w:r>
              <w:rPr>
                <w:spacing w:val="-6"/>
              </w:rPr>
              <w:t>、附着物是否稳固</w:t>
            </w:r>
          </w:p>
        </w:tc>
      </w:tr>
      <w:tr w14:paraId="089B4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32B20F6B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444294C9">
            <w:pPr>
              <w:pStyle w:val="6"/>
              <w:spacing w:before="117" w:line="261" w:lineRule="auto"/>
              <w:ind w:left="120" w:right="111" w:hanging="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6.</w:t>
            </w:r>
            <w:r>
              <w:rPr>
                <w:spacing w:val="-1"/>
              </w:rPr>
              <w:t>核查施工区域是否全封闭围挡，与教学、生活</w:t>
            </w:r>
            <w:r>
              <w:rPr>
                <w:spacing w:val="-2"/>
              </w:rPr>
              <w:t>区域物理隔离，是否存在违</w:t>
            </w:r>
            <w:r>
              <w:rPr>
                <w:spacing w:val="-3"/>
              </w:rPr>
              <w:t>规动火作业</w:t>
            </w:r>
          </w:p>
        </w:tc>
      </w:tr>
      <w:tr w14:paraId="200AC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1FE1E1E3">
            <w:pPr>
              <w:spacing w:line="247" w:lineRule="auto"/>
              <w:rPr>
                <w:rFonts w:ascii="Arial"/>
                <w:sz w:val="21"/>
              </w:rPr>
            </w:pPr>
          </w:p>
          <w:p w14:paraId="5664E5E4">
            <w:pPr>
              <w:spacing w:line="247" w:lineRule="auto"/>
              <w:rPr>
                <w:rFonts w:ascii="Arial"/>
                <w:sz w:val="21"/>
              </w:rPr>
            </w:pPr>
          </w:p>
          <w:p w14:paraId="34F9F89D">
            <w:pPr>
              <w:spacing w:line="247" w:lineRule="auto"/>
              <w:rPr>
                <w:rFonts w:ascii="Arial"/>
                <w:sz w:val="21"/>
              </w:rPr>
            </w:pPr>
          </w:p>
          <w:p w14:paraId="1983D205">
            <w:pPr>
              <w:spacing w:line="248" w:lineRule="auto"/>
              <w:rPr>
                <w:rFonts w:ascii="Arial"/>
                <w:sz w:val="21"/>
              </w:rPr>
            </w:pPr>
          </w:p>
          <w:p w14:paraId="1F09DA8C">
            <w:pPr>
              <w:spacing w:line="248" w:lineRule="auto"/>
              <w:rPr>
                <w:rFonts w:ascii="Arial"/>
                <w:sz w:val="21"/>
              </w:rPr>
            </w:pPr>
          </w:p>
          <w:p w14:paraId="19024DBC">
            <w:pPr>
              <w:spacing w:line="248" w:lineRule="auto"/>
              <w:rPr>
                <w:rFonts w:ascii="Arial"/>
                <w:sz w:val="21"/>
              </w:rPr>
            </w:pPr>
          </w:p>
          <w:p w14:paraId="07977C94">
            <w:pPr>
              <w:spacing w:line="248" w:lineRule="auto"/>
              <w:rPr>
                <w:rFonts w:ascii="Arial"/>
                <w:sz w:val="21"/>
              </w:rPr>
            </w:pPr>
          </w:p>
          <w:p w14:paraId="15D67896">
            <w:pPr>
              <w:pStyle w:val="6"/>
              <w:spacing w:before="78" w:line="217" w:lineRule="auto"/>
              <w:ind w:left="160"/>
            </w:pPr>
            <w:r>
              <w:rPr>
                <w:spacing w:val="-4"/>
              </w:rPr>
              <w:t>消防安全</w:t>
            </w:r>
          </w:p>
        </w:tc>
        <w:tc>
          <w:tcPr>
            <w:tcW w:w="8046" w:type="dxa"/>
            <w:vAlign w:val="top"/>
          </w:tcPr>
          <w:p w14:paraId="1AB245E6">
            <w:pPr>
              <w:pStyle w:val="6"/>
              <w:spacing w:before="114" w:line="261" w:lineRule="auto"/>
              <w:ind w:left="118" w:right="31" w:hanging="6"/>
            </w:pPr>
            <w:r>
              <w:rPr>
                <w:rFonts w:ascii="Times New Roman" w:hAnsi="Times New Roman" w:eastAsia="Times New Roman" w:cs="Times New Roman"/>
                <w:spacing w:val="-6"/>
              </w:rPr>
              <w:t>7.</w:t>
            </w:r>
            <w:r>
              <w:rPr>
                <w:spacing w:val="-6"/>
              </w:rPr>
              <w:t>全面检查火灾自动报警系统、自动灭火系统、消火栓系统、防烟排烟系统、</w:t>
            </w:r>
            <w:r>
              <w:rPr>
                <w:spacing w:val="-1"/>
              </w:rPr>
              <w:t>应急照明和疏散指示标志、灭火器等设施设备</w:t>
            </w:r>
          </w:p>
        </w:tc>
      </w:tr>
      <w:tr w14:paraId="2678A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3D851459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31B1AF80">
            <w:pPr>
              <w:pStyle w:val="6"/>
              <w:spacing w:before="117" w:line="261" w:lineRule="auto"/>
              <w:ind w:left="127" w:right="108" w:hanging="9"/>
            </w:pPr>
            <w:r>
              <w:rPr>
                <w:rFonts w:ascii="Times New Roman" w:hAnsi="Times New Roman" w:eastAsia="Times New Roman" w:cs="Times New Roman"/>
                <w:spacing w:val="-7"/>
              </w:rPr>
              <w:t>8.</w:t>
            </w:r>
            <w:r>
              <w:rPr>
                <w:spacing w:val="-7"/>
              </w:rPr>
              <w:t>全面清理堵塞、占用安全出口、疏散通道、消防通道的杂物，拆除影响逃</w:t>
            </w:r>
            <w:r>
              <w:rPr>
                <w:spacing w:val="-8"/>
              </w:rPr>
              <w:t>生救援的防盗窗（网）、铁栅栏、广告牌等障碍物</w:t>
            </w:r>
          </w:p>
        </w:tc>
      </w:tr>
      <w:tr w14:paraId="61B3D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1B116432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48F17FE6">
            <w:pPr>
              <w:pStyle w:val="6"/>
              <w:spacing w:before="202" w:line="232" w:lineRule="auto"/>
              <w:ind w:left="11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9.</w:t>
            </w:r>
            <w:r>
              <w:rPr>
                <w:spacing w:val="-1"/>
              </w:rPr>
              <w:t>全面清查用电用气用火用水管（线）路，核查老化破损</w:t>
            </w:r>
            <w:r>
              <w:rPr>
                <w:spacing w:val="-2"/>
              </w:rPr>
              <w:t>、跑冒滴漏等问题</w:t>
            </w:r>
          </w:p>
        </w:tc>
      </w:tr>
      <w:tr w14:paraId="3B426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28ED8C7F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02C87922">
            <w:pPr>
              <w:pStyle w:val="6"/>
              <w:spacing w:before="117" w:line="260" w:lineRule="auto"/>
              <w:ind w:left="114" w:right="110" w:firstLine="17"/>
            </w:pPr>
            <w:r>
              <w:rPr>
                <w:rFonts w:ascii="Times New Roman" w:hAnsi="Times New Roman" w:eastAsia="Times New Roman" w:cs="Times New Roman"/>
                <w:spacing w:val="-5"/>
              </w:rPr>
              <w:t>10.</w:t>
            </w:r>
            <w:r>
              <w:rPr>
                <w:spacing w:val="-5"/>
              </w:rPr>
              <w:t>核查电动自行车是否违规入室停放充电，是否“飞线充</w:t>
            </w:r>
            <w:r>
              <w:rPr>
                <w:spacing w:val="-6"/>
              </w:rPr>
              <w:t>电”，集中充电设</w:t>
            </w:r>
            <w:r>
              <w:rPr>
                <w:spacing w:val="-7"/>
              </w:rPr>
              <w:t>施是否设置在室外安全区域，与宿舍、教学楼保持安全间距，配置消防器材</w:t>
            </w:r>
          </w:p>
        </w:tc>
      </w:tr>
      <w:tr w14:paraId="49D0E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5D3EB3B5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0BFB042A">
            <w:pPr>
              <w:pStyle w:val="6"/>
              <w:spacing w:before="116" w:line="263" w:lineRule="auto"/>
              <w:ind w:left="113" w:right="127" w:firstLine="18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11.</w:t>
            </w:r>
            <w:r>
              <w:rPr>
                <w:spacing w:val="-2"/>
              </w:rPr>
              <w:t>校内彩钢夹芯板搭建建筑物芯材燃烧等级是否达到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</w:t>
            </w:r>
            <w:r>
              <w:rPr>
                <w:spacing w:val="-3"/>
              </w:rPr>
              <w:t>级（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GB8624</w:t>
            </w:r>
            <w:r>
              <w:rPr>
                <w:spacing w:val="-63"/>
              </w:rPr>
              <w:t>），</w:t>
            </w:r>
            <w:r>
              <w:rPr>
                <w:spacing w:val="-3"/>
              </w:rPr>
              <w:t>未</w:t>
            </w:r>
            <w:r>
              <w:rPr>
                <w:spacing w:val="-1"/>
              </w:rPr>
              <w:t>达到一律拆除或停止使用</w:t>
            </w:r>
          </w:p>
        </w:tc>
      </w:tr>
    </w:tbl>
    <w:p w14:paraId="3336D239">
      <w:pPr>
        <w:rPr>
          <w:rFonts w:ascii="Arial"/>
          <w:sz w:val="21"/>
        </w:rPr>
      </w:pPr>
    </w:p>
    <w:p w14:paraId="22F8E42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39"/>
          <w:pgMar w:top="400" w:right="1183" w:bottom="1946" w:left="1418" w:header="0" w:footer="1630" w:gutter="0"/>
          <w:cols w:space="720" w:num="1"/>
        </w:sectPr>
      </w:pPr>
    </w:p>
    <w:p w14:paraId="6B9E59E6">
      <w:pPr>
        <w:rPr>
          <w:rFonts w:ascii="Arial" w:hAnsi="Arial" w:eastAsia="Arial" w:cs="Arial"/>
          <w:sz w:val="21"/>
          <w:szCs w:val="21"/>
        </w:rPr>
        <w:sectPr>
          <w:type w:val="continuous"/>
          <w:pgSz w:w="11907" w:h="16839"/>
          <w:pgMar w:top="400" w:right="1183" w:bottom="1946" w:left="1418" w:header="0" w:footer="1630" w:gutter="0"/>
          <w:cols w:space="720" w:num="1"/>
        </w:sectPr>
      </w:pPr>
    </w:p>
    <w:p w14:paraId="21976885">
      <w:pPr>
        <w:spacing w:before="32"/>
      </w:pPr>
    </w:p>
    <w:p w14:paraId="35CA42D0">
      <w:pPr>
        <w:spacing w:before="32"/>
      </w:pPr>
    </w:p>
    <w:p w14:paraId="7A3AF7E2">
      <w:pPr>
        <w:spacing w:before="32"/>
      </w:pPr>
    </w:p>
    <w:p w14:paraId="3001C0A8">
      <w:pPr>
        <w:spacing w:before="32"/>
      </w:pPr>
    </w:p>
    <w:p w14:paraId="652314D9">
      <w:pPr>
        <w:spacing w:before="32"/>
      </w:pPr>
    </w:p>
    <w:p w14:paraId="43624E5D">
      <w:pPr>
        <w:spacing w:before="31"/>
      </w:pPr>
    </w:p>
    <w:tbl>
      <w:tblPr>
        <w:tblStyle w:val="5"/>
        <w:tblW w:w="92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8046"/>
      </w:tblGrid>
      <w:tr w14:paraId="7DFF9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52" w:type="dxa"/>
            <w:vAlign w:val="top"/>
          </w:tcPr>
          <w:p w14:paraId="36ED694F">
            <w:pPr>
              <w:spacing w:before="235" w:line="218" w:lineRule="auto"/>
              <w:ind w:left="1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工作任务</w:t>
            </w:r>
          </w:p>
        </w:tc>
        <w:tc>
          <w:tcPr>
            <w:tcW w:w="8046" w:type="dxa"/>
            <w:vAlign w:val="top"/>
          </w:tcPr>
          <w:p w14:paraId="262E431E">
            <w:pPr>
              <w:spacing w:before="234" w:line="220" w:lineRule="auto"/>
              <w:ind w:left="35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具体要求</w:t>
            </w:r>
          </w:p>
        </w:tc>
      </w:tr>
      <w:tr w14:paraId="5A7C5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4BF2822D">
            <w:pPr>
              <w:spacing w:line="277" w:lineRule="auto"/>
              <w:rPr>
                <w:rFonts w:ascii="Arial"/>
                <w:sz w:val="21"/>
              </w:rPr>
            </w:pPr>
          </w:p>
          <w:p w14:paraId="041F371A">
            <w:pPr>
              <w:spacing w:line="278" w:lineRule="auto"/>
              <w:rPr>
                <w:rFonts w:ascii="Arial"/>
                <w:sz w:val="21"/>
              </w:rPr>
            </w:pPr>
          </w:p>
          <w:p w14:paraId="03A7F4FE">
            <w:pPr>
              <w:spacing w:line="278" w:lineRule="auto"/>
              <w:rPr>
                <w:rFonts w:ascii="Arial"/>
                <w:sz w:val="21"/>
              </w:rPr>
            </w:pPr>
          </w:p>
          <w:p w14:paraId="6A936BD8">
            <w:pPr>
              <w:pStyle w:val="6"/>
              <w:spacing w:before="78" w:line="220" w:lineRule="auto"/>
              <w:ind w:left="157"/>
            </w:pPr>
            <w:r>
              <w:rPr>
                <w:spacing w:val="-3"/>
              </w:rPr>
              <w:t>食品安全</w:t>
            </w:r>
          </w:p>
        </w:tc>
        <w:tc>
          <w:tcPr>
            <w:tcW w:w="8046" w:type="dxa"/>
            <w:vAlign w:val="top"/>
          </w:tcPr>
          <w:p w14:paraId="565CFF97">
            <w:pPr>
              <w:pStyle w:val="6"/>
              <w:spacing w:before="113" w:line="277" w:lineRule="auto"/>
              <w:ind w:left="113" w:right="111" w:firstLine="18"/>
              <w:jc w:val="both"/>
            </w:pPr>
            <w:r>
              <w:rPr>
                <w:rFonts w:ascii="Times New Roman" w:hAnsi="Times New Roman" w:eastAsia="Times New Roman" w:cs="Times New Roman"/>
                <w:spacing w:val="1"/>
              </w:rPr>
              <w:t>12.</w:t>
            </w:r>
            <w:r>
              <w:rPr>
                <w:spacing w:val="1"/>
              </w:rPr>
              <w:t>对食堂后厨、就餐区域、库房进行全面清扫消毒，检查排水沟、油烟管</w:t>
            </w:r>
            <w:r>
              <w:rPr>
                <w:spacing w:val="-8"/>
              </w:rPr>
              <w:t>道、冷藏冷冻设备、消毒柜、留样柜是否正常运</w:t>
            </w:r>
            <w:r>
              <w:rPr>
                <w:spacing w:val="-9"/>
              </w:rPr>
              <w:t>转，清理上学期遗留食材和</w:t>
            </w:r>
            <w:r>
              <w:rPr>
                <w:spacing w:val="-3"/>
              </w:rPr>
              <w:t>调料</w:t>
            </w:r>
          </w:p>
        </w:tc>
      </w:tr>
      <w:tr w14:paraId="44FEF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2D1C3ACD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1B09856D">
            <w:pPr>
              <w:pStyle w:val="6"/>
              <w:spacing w:before="114" w:line="261" w:lineRule="auto"/>
              <w:ind w:left="113" w:right="115" w:firstLine="18"/>
            </w:pPr>
            <w:r>
              <w:rPr>
                <w:rFonts w:ascii="Times New Roman" w:hAnsi="Times New Roman" w:eastAsia="Times New Roman" w:cs="Times New Roman"/>
                <w:spacing w:val="1"/>
              </w:rPr>
              <w:t>13.</w:t>
            </w:r>
            <w:r>
              <w:rPr>
                <w:spacing w:val="1"/>
              </w:rPr>
              <w:t>食材全部重新采购，落实索证索票和进货查验制度，大宗食材公开招标</w:t>
            </w:r>
            <w:r>
              <w:rPr>
                <w:spacing w:val="-2"/>
              </w:rPr>
              <w:t>或集中定点采购</w:t>
            </w:r>
          </w:p>
        </w:tc>
      </w:tr>
      <w:tr w14:paraId="162BB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35A2884D">
            <w:pPr>
              <w:spacing w:line="440" w:lineRule="auto"/>
              <w:rPr>
                <w:rFonts w:ascii="Arial"/>
                <w:sz w:val="21"/>
              </w:rPr>
            </w:pPr>
          </w:p>
          <w:p w14:paraId="47E15297">
            <w:pPr>
              <w:pStyle w:val="6"/>
              <w:spacing w:before="78" w:line="310" w:lineRule="auto"/>
              <w:ind w:left="414" w:right="263" w:hanging="147"/>
            </w:pPr>
            <w:r>
              <w:rPr>
                <w:spacing w:val="-2"/>
              </w:rPr>
              <w:t>传染病</w:t>
            </w:r>
            <w:r>
              <w:rPr>
                <w:spacing w:val="-8"/>
              </w:rPr>
              <w:t>防控</w:t>
            </w:r>
          </w:p>
        </w:tc>
        <w:tc>
          <w:tcPr>
            <w:tcW w:w="8046" w:type="dxa"/>
            <w:vAlign w:val="top"/>
          </w:tcPr>
          <w:p w14:paraId="47E7B5C0">
            <w:pPr>
              <w:pStyle w:val="6"/>
              <w:spacing w:before="117" w:line="261" w:lineRule="auto"/>
              <w:ind w:left="114" w:right="170" w:firstLine="16"/>
            </w:pPr>
            <w:r>
              <w:rPr>
                <w:rFonts w:ascii="Times New Roman" w:hAnsi="Times New Roman" w:eastAsia="Times New Roman" w:cs="Times New Roman"/>
              </w:rPr>
              <w:t>14.</w:t>
            </w:r>
            <w:r>
              <w:t>对教室、宿舍、食堂、卫生间、图书馆等场所全面清扫、通风、消</w:t>
            </w:r>
            <w:r>
              <w:rPr>
                <w:spacing w:val="-1"/>
              </w:rPr>
              <w:t>毒，饮水设施清洗消毒，直饮水机更换滤芯，自备水源水质检测</w:t>
            </w:r>
          </w:p>
        </w:tc>
      </w:tr>
      <w:tr w14:paraId="415A4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3BDD6E8B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77D948CB">
            <w:pPr>
              <w:pStyle w:val="6"/>
              <w:spacing w:before="114" w:line="261" w:lineRule="auto"/>
              <w:ind w:left="107" w:right="115" w:firstLine="24"/>
            </w:pPr>
            <w:r>
              <w:rPr>
                <w:rFonts w:ascii="Times New Roman" w:hAnsi="Times New Roman" w:eastAsia="Times New Roman" w:cs="Times New Roman"/>
                <w:spacing w:val="1"/>
              </w:rPr>
              <w:t>15.</w:t>
            </w:r>
            <w:r>
              <w:rPr>
                <w:spacing w:val="1"/>
              </w:rPr>
              <w:t>完善晨午检制度、因病缺勤追踪登记制度、传染病疫情报告制度，制定</w:t>
            </w:r>
            <w:r>
              <w:rPr>
                <w:spacing w:val="-1"/>
              </w:rPr>
              <w:t>传染病应急预案，储备必要防疫物资</w:t>
            </w:r>
          </w:p>
        </w:tc>
      </w:tr>
      <w:tr w14:paraId="6F2CF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2E18CF72">
            <w:pPr>
              <w:spacing w:line="279" w:lineRule="auto"/>
              <w:rPr>
                <w:rFonts w:ascii="Arial"/>
                <w:sz w:val="21"/>
              </w:rPr>
            </w:pPr>
          </w:p>
          <w:p w14:paraId="0298DE8D">
            <w:pPr>
              <w:spacing w:line="280" w:lineRule="auto"/>
              <w:rPr>
                <w:rFonts w:ascii="Arial"/>
                <w:sz w:val="21"/>
              </w:rPr>
            </w:pPr>
          </w:p>
          <w:p w14:paraId="0C47D8B8">
            <w:pPr>
              <w:spacing w:line="280" w:lineRule="auto"/>
              <w:rPr>
                <w:rFonts w:ascii="Arial"/>
                <w:sz w:val="21"/>
              </w:rPr>
            </w:pPr>
          </w:p>
          <w:p w14:paraId="5A421EF6">
            <w:pPr>
              <w:pStyle w:val="6"/>
              <w:spacing w:before="78" w:line="218" w:lineRule="auto"/>
              <w:ind w:left="165"/>
            </w:pPr>
            <w:r>
              <w:rPr>
                <w:spacing w:val="-5"/>
              </w:rPr>
              <w:t>实验实训</w:t>
            </w:r>
          </w:p>
        </w:tc>
        <w:tc>
          <w:tcPr>
            <w:tcW w:w="8046" w:type="dxa"/>
            <w:vAlign w:val="top"/>
          </w:tcPr>
          <w:p w14:paraId="434F0E99">
            <w:pPr>
              <w:pStyle w:val="6"/>
              <w:spacing w:before="116" w:line="277" w:lineRule="auto"/>
              <w:ind w:left="111" w:right="42" w:firstLine="20"/>
              <w:jc w:val="both"/>
            </w:pPr>
            <w:r>
              <w:rPr>
                <w:rFonts w:ascii="Times New Roman" w:hAnsi="Times New Roman" w:eastAsia="Times New Roman" w:cs="Times New Roman"/>
                <w:spacing w:val="-3"/>
              </w:rPr>
              <w:t>16.</w:t>
            </w:r>
            <w:r>
              <w:rPr>
                <w:spacing w:val="-3"/>
              </w:rPr>
              <w:t>对实验室危化品进行全面盘点，建立动态台账，落</w:t>
            </w:r>
            <w:r>
              <w:rPr>
                <w:spacing w:val="-4"/>
              </w:rPr>
              <w:t>实“双人双锁”管理，</w:t>
            </w:r>
            <w:r>
              <w:rPr>
                <w:spacing w:val="-3"/>
              </w:rPr>
              <w:t>过期或废弃危化品规范处置，不得超量存储；试剂柜通风良好，防</w:t>
            </w:r>
            <w:r>
              <w:rPr>
                <w:spacing w:val="-4"/>
              </w:rPr>
              <w:t>火等级达</w:t>
            </w:r>
            <w:r>
              <w:t>标</w:t>
            </w:r>
          </w:p>
        </w:tc>
      </w:tr>
      <w:tr w14:paraId="7491A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1D1E6EBA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1E1B5F96">
            <w:pPr>
              <w:pStyle w:val="6"/>
              <w:spacing w:before="115" w:line="261" w:lineRule="auto"/>
              <w:ind w:left="140" w:right="115" w:hanging="9"/>
            </w:pPr>
            <w:r>
              <w:rPr>
                <w:rFonts w:ascii="Times New Roman" w:hAnsi="Times New Roman" w:eastAsia="Times New Roman" w:cs="Times New Roman"/>
                <w:spacing w:val="1"/>
              </w:rPr>
              <w:t>17.</w:t>
            </w:r>
            <w:r>
              <w:rPr>
                <w:spacing w:val="1"/>
              </w:rPr>
              <w:t>检查水电气暖系统是否存在渗漏、老化、破损以及实验设备超期使用等</w:t>
            </w:r>
            <w:r>
              <w:rPr>
                <w:spacing w:val="-10"/>
              </w:rPr>
              <w:t>问题</w:t>
            </w:r>
          </w:p>
        </w:tc>
      </w:tr>
      <w:tr w14:paraId="2838A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52" w:type="dxa"/>
            <w:vAlign w:val="top"/>
          </w:tcPr>
          <w:p w14:paraId="7FA7195C">
            <w:pPr>
              <w:pStyle w:val="6"/>
              <w:spacing w:before="116" w:line="214" w:lineRule="auto"/>
              <w:ind w:left="156"/>
            </w:pPr>
            <w:r>
              <w:rPr>
                <w:spacing w:val="-3"/>
              </w:rPr>
              <w:t>特种设备</w:t>
            </w:r>
          </w:p>
        </w:tc>
        <w:tc>
          <w:tcPr>
            <w:tcW w:w="8046" w:type="dxa"/>
            <w:vAlign w:val="top"/>
          </w:tcPr>
          <w:p w14:paraId="52989362">
            <w:pPr>
              <w:pStyle w:val="6"/>
              <w:spacing w:before="116" w:line="214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18.</w:t>
            </w:r>
            <w:r>
              <w:rPr>
                <w:spacing w:val="-1"/>
              </w:rPr>
              <w:t>电梯、压力容器、起重机械等特种设备及安全附件必须在检验有效期内</w:t>
            </w:r>
          </w:p>
        </w:tc>
      </w:tr>
      <w:tr w14:paraId="29044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78597755">
            <w:pPr>
              <w:spacing w:line="267" w:lineRule="auto"/>
              <w:rPr>
                <w:rFonts w:ascii="Arial"/>
                <w:sz w:val="21"/>
              </w:rPr>
            </w:pPr>
          </w:p>
          <w:p w14:paraId="5AB94813">
            <w:pPr>
              <w:spacing w:line="268" w:lineRule="auto"/>
              <w:rPr>
                <w:rFonts w:ascii="Arial"/>
                <w:sz w:val="21"/>
              </w:rPr>
            </w:pPr>
          </w:p>
          <w:p w14:paraId="010B6ED5">
            <w:pPr>
              <w:spacing w:line="268" w:lineRule="auto"/>
              <w:rPr>
                <w:rFonts w:ascii="Arial"/>
                <w:sz w:val="21"/>
              </w:rPr>
            </w:pPr>
          </w:p>
          <w:p w14:paraId="05D0A8D5">
            <w:pPr>
              <w:spacing w:line="268" w:lineRule="auto"/>
              <w:rPr>
                <w:rFonts w:ascii="Arial"/>
                <w:sz w:val="21"/>
              </w:rPr>
            </w:pPr>
          </w:p>
          <w:p w14:paraId="4802747F">
            <w:pPr>
              <w:pStyle w:val="6"/>
              <w:spacing w:before="78" w:line="218" w:lineRule="auto"/>
              <w:ind w:left="166"/>
            </w:pPr>
            <w:r>
              <w:rPr>
                <w:spacing w:val="-5"/>
              </w:rPr>
              <w:t>治安防控</w:t>
            </w:r>
          </w:p>
        </w:tc>
        <w:tc>
          <w:tcPr>
            <w:tcW w:w="8046" w:type="dxa"/>
            <w:vAlign w:val="top"/>
          </w:tcPr>
          <w:p w14:paraId="129FDE85">
            <w:pPr>
              <w:pStyle w:val="6"/>
              <w:spacing w:before="118" w:line="260" w:lineRule="auto"/>
              <w:ind w:left="114" w:right="115" w:firstLine="17"/>
            </w:pPr>
            <w:r>
              <w:rPr>
                <w:rFonts w:ascii="Times New Roman" w:hAnsi="Times New Roman" w:eastAsia="Times New Roman" w:cs="Times New Roman"/>
                <w:spacing w:val="1"/>
              </w:rPr>
              <w:t>19.</w:t>
            </w:r>
            <w:r>
              <w:rPr>
                <w:spacing w:val="1"/>
              </w:rPr>
              <w:t>专职保安员配备到位，持证上岗，未超出法定退休年龄；值班领导、宿</w:t>
            </w:r>
            <w:r>
              <w:rPr>
                <w:spacing w:val="-1"/>
              </w:rPr>
              <w:t>管员等全员到岗；组织一次“最小应急单元”应急处突演练</w:t>
            </w:r>
          </w:p>
        </w:tc>
      </w:tr>
      <w:tr w14:paraId="0B0B3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0B357824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68C67ECC">
            <w:pPr>
              <w:pStyle w:val="6"/>
              <w:spacing w:before="119" w:line="260" w:lineRule="auto"/>
              <w:ind w:left="108" w:right="115"/>
            </w:pPr>
            <w:r>
              <w:rPr>
                <w:rFonts w:ascii="Times New Roman" w:hAnsi="Times New Roman" w:eastAsia="Times New Roman" w:cs="Times New Roman"/>
                <w:spacing w:val="2"/>
              </w:rPr>
              <w:t>20.</w:t>
            </w:r>
            <w:r>
              <w:rPr>
                <w:spacing w:val="2"/>
              </w:rPr>
              <w:t>学校校门规范设置</w:t>
            </w:r>
            <w:r>
              <w:rPr>
                <w:spacing w:val="-2"/>
              </w:rPr>
              <w:t>硬质防冲撞设施，门卫室配备防护器材</w:t>
            </w:r>
            <w:r>
              <w:rPr>
                <w:spacing w:val="-73"/>
              </w:rPr>
              <w:t xml:space="preserve"> </w:t>
            </w:r>
            <w:r>
              <w:rPr>
                <w:spacing w:val="-2"/>
              </w:rPr>
              <w:t>“八件套”齐全</w:t>
            </w:r>
          </w:p>
        </w:tc>
      </w:tr>
      <w:tr w14:paraId="69232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00F5705A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40F112C9">
            <w:pPr>
              <w:pStyle w:val="6"/>
              <w:spacing w:before="117" w:line="283" w:lineRule="auto"/>
              <w:ind w:left="112" w:right="106" w:hanging="4"/>
            </w:pPr>
            <w:r>
              <w:rPr>
                <w:rFonts w:ascii="Times New Roman" w:hAnsi="Times New Roman" w:eastAsia="Times New Roman" w:cs="Times New Roman"/>
                <w:spacing w:val="1"/>
              </w:rPr>
              <w:t>21.</w:t>
            </w:r>
            <w:r>
              <w:rPr>
                <w:spacing w:val="1"/>
              </w:rPr>
              <w:t>视频监控系统规范覆盖学校各部位，重点部位录</w:t>
            </w:r>
            <w:r>
              <w:t>像时间</w:t>
            </w:r>
            <w:r>
              <w:rPr>
                <w:rFonts w:ascii="Times New Roman" w:hAnsi="Times New Roman" w:eastAsia="Times New Roman" w:cs="Times New Roman"/>
              </w:rPr>
              <w:t>90</w:t>
            </w:r>
            <w:r>
              <w:t>天；一键报警</w:t>
            </w:r>
            <w:r>
              <w:rPr>
                <w:spacing w:val="-1"/>
              </w:rPr>
              <w:t>装置与公安联网，信号畅通</w:t>
            </w:r>
          </w:p>
        </w:tc>
      </w:tr>
      <w:tr w14:paraId="71874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349F79B0">
            <w:pPr>
              <w:spacing w:line="265" w:lineRule="auto"/>
              <w:rPr>
                <w:rFonts w:ascii="Arial"/>
                <w:sz w:val="21"/>
              </w:rPr>
            </w:pPr>
          </w:p>
          <w:p w14:paraId="0AD8DC9F">
            <w:pPr>
              <w:spacing w:line="265" w:lineRule="auto"/>
              <w:rPr>
                <w:rFonts w:ascii="Arial"/>
                <w:sz w:val="21"/>
              </w:rPr>
            </w:pPr>
          </w:p>
          <w:p w14:paraId="0CD55896">
            <w:pPr>
              <w:spacing w:line="266" w:lineRule="auto"/>
              <w:rPr>
                <w:rFonts w:ascii="Arial"/>
                <w:sz w:val="21"/>
              </w:rPr>
            </w:pPr>
          </w:p>
          <w:p w14:paraId="29A41F66">
            <w:pPr>
              <w:spacing w:line="266" w:lineRule="auto"/>
              <w:rPr>
                <w:rFonts w:ascii="Arial"/>
                <w:sz w:val="21"/>
              </w:rPr>
            </w:pPr>
          </w:p>
          <w:p w14:paraId="59701C4B">
            <w:pPr>
              <w:spacing w:line="266" w:lineRule="auto"/>
              <w:rPr>
                <w:rFonts w:ascii="Arial"/>
                <w:sz w:val="21"/>
              </w:rPr>
            </w:pPr>
          </w:p>
          <w:p w14:paraId="33C44BC2">
            <w:pPr>
              <w:pStyle w:val="6"/>
              <w:spacing w:before="78" w:line="215" w:lineRule="auto"/>
              <w:ind w:left="155"/>
            </w:pPr>
            <w:r>
              <w:rPr>
                <w:spacing w:val="-3"/>
              </w:rPr>
              <w:t>校车交通</w:t>
            </w:r>
          </w:p>
        </w:tc>
        <w:tc>
          <w:tcPr>
            <w:tcW w:w="8046" w:type="dxa"/>
            <w:vAlign w:val="top"/>
          </w:tcPr>
          <w:p w14:paraId="0295A104">
            <w:pPr>
              <w:pStyle w:val="6"/>
              <w:spacing w:before="120" w:line="305" w:lineRule="auto"/>
              <w:ind w:left="114" w:right="35" w:hanging="6"/>
              <w:jc w:val="both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22.</w:t>
            </w:r>
            <w:r>
              <w:rPr>
                <w:spacing w:val="-2"/>
              </w:rPr>
              <w:t>配备校车的学校，要求校车服务提供者对</w:t>
            </w:r>
            <w:r>
              <w:rPr>
                <w:spacing w:val="-3"/>
              </w:rPr>
              <w:t>校车进行全面检验，确保制动、</w:t>
            </w:r>
            <w:r>
              <w:rPr>
                <w:spacing w:val="-1"/>
              </w:rPr>
              <w:t>转向、轮胎、安全带、灭火器、逃生锤、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PS</w:t>
            </w:r>
            <w:r>
              <w:rPr>
                <w:spacing w:val="-2"/>
              </w:rPr>
              <w:t>定位、行车记录仪齐全有效；</w:t>
            </w:r>
            <w:r>
              <w:rPr>
                <w:spacing w:val="-1"/>
              </w:rPr>
              <w:t>校车标牌在有效期内，使用许可手续完备</w:t>
            </w:r>
          </w:p>
        </w:tc>
      </w:tr>
      <w:tr w14:paraId="30FD9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7B969D09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71D8E458">
            <w:pPr>
              <w:pStyle w:val="6"/>
              <w:spacing w:before="119" w:line="272" w:lineRule="auto"/>
              <w:ind w:left="125" w:right="115" w:hanging="17"/>
            </w:pPr>
            <w:r>
              <w:rPr>
                <w:rFonts w:ascii="Times New Roman" w:hAnsi="Times New Roman" w:eastAsia="Times New Roman" w:cs="Times New Roman"/>
                <w:spacing w:val="2"/>
              </w:rPr>
              <w:t>23.</w:t>
            </w:r>
            <w:r>
              <w:rPr>
                <w:spacing w:val="2"/>
              </w:rPr>
              <w:t>完善校车运行协议、安全责任书，对校车及驾驶员安全责任进一步细化</w:t>
            </w:r>
            <w:r>
              <w:rPr>
                <w:spacing w:val="-6"/>
              </w:rPr>
              <w:t>完善</w:t>
            </w:r>
          </w:p>
        </w:tc>
      </w:tr>
      <w:tr w14:paraId="3B3EB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64AAB5A3">
            <w:pPr>
              <w:rPr>
                <w:rFonts w:ascii="Arial"/>
                <w:sz w:val="21"/>
              </w:rPr>
            </w:pPr>
          </w:p>
        </w:tc>
        <w:tc>
          <w:tcPr>
            <w:tcW w:w="8046" w:type="dxa"/>
            <w:vAlign w:val="top"/>
          </w:tcPr>
          <w:p w14:paraId="0DED1E3B">
            <w:pPr>
              <w:pStyle w:val="6"/>
              <w:spacing w:before="119" w:line="262" w:lineRule="auto"/>
              <w:ind w:left="126" w:right="115" w:hanging="18"/>
            </w:pPr>
            <w:r>
              <w:rPr>
                <w:rFonts w:ascii="Times New Roman" w:hAnsi="Times New Roman" w:eastAsia="Times New Roman" w:cs="Times New Roman"/>
                <w:spacing w:val="2"/>
              </w:rPr>
              <w:t>24.</w:t>
            </w:r>
            <w:r>
              <w:rPr>
                <w:spacing w:val="2"/>
              </w:rPr>
              <w:t>核查校车驾驶员驾驶资格、年度审验、健康体检，要求校车服务提供者</w:t>
            </w:r>
            <w:r>
              <w:rPr>
                <w:spacing w:val="-2"/>
              </w:rPr>
              <w:t>必须组织开学前安全培训</w:t>
            </w:r>
          </w:p>
        </w:tc>
      </w:tr>
    </w:tbl>
    <w:p w14:paraId="3B7C68F3">
      <w:pPr>
        <w:rPr>
          <w:rFonts w:ascii="Arial"/>
          <w:sz w:val="21"/>
        </w:rPr>
      </w:pPr>
    </w:p>
    <w:p w14:paraId="29E606B3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7" w:h="16839"/>
          <w:pgMar w:top="400" w:right="1183" w:bottom="1946" w:left="1418" w:header="0" w:footer="1634" w:gutter="0"/>
          <w:cols w:space="720" w:num="1"/>
        </w:sectPr>
      </w:pPr>
    </w:p>
    <w:p w14:paraId="0C70309F">
      <w:pPr>
        <w:spacing w:before="32"/>
      </w:pPr>
    </w:p>
    <w:p w14:paraId="562BC5B7">
      <w:pPr>
        <w:spacing w:before="32"/>
      </w:pPr>
    </w:p>
    <w:p w14:paraId="65E74EB4">
      <w:pPr>
        <w:spacing w:before="32"/>
      </w:pPr>
    </w:p>
    <w:p w14:paraId="73CA53B9">
      <w:pPr>
        <w:spacing w:before="32"/>
      </w:pPr>
    </w:p>
    <w:p w14:paraId="7C328250">
      <w:pPr>
        <w:spacing w:before="32"/>
      </w:pPr>
    </w:p>
    <w:p w14:paraId="00454781">
      <w:pPr>
        <w:spacing w:before="31"/>
      </w:pPr>
    </w:p>
    <w:tbl>
      <w:tblPr>
        <w:tblStyle w:val="5"/>
        <w:tblW w:w="92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8046"/>
      </w:tblGrid>
      <w:tr w14:paraId="7226B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252" w:type="dxa"/>
            <w:vAlign w:val="top"/>
          </w:tcPr>
          <w:p w14:paraId="4DAB5EBB">
            <w:pPr>
              <w:spacing w:before="235" w:line="218" w:lineRule="auto"/>
              <w:ind w:left="1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工作任务</w:t>
            </w:r>
          </w:p>
        </w:tc>
        <w:tc>
          <w:tcPr>
            <w:tcW w:w="8046" w:type="dxa"/>
            <w:vAlign w:val="top"/>
          </w:tcPr>
          <w:p w14:paraId="6D1A3423">
            <w:pPr>
              <w:spacing w:before="234" w:line="220" w:lineRule="auto"/>
              <w:ind w:left="35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具体要求</w:t>
            </w:r>
          </w:p>
        </w:tc>
      </w:tr>
      <w:tr w14:paraId="0D11D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1252" w:type="dxa"/>
            <w:vAlign w:val="top"/>
          </w:tcPr>
          <w:p w14:paraId="68AAEC7E">
            <w:pPr>
              <w:spacing w:line="435" w:lineRule="auto"/>
              <w:rPr>
                <w:rFonts w:ascii="Arial"/>
                <w:sz w:val="21"/>
              </w:rPr>
            </w:pPr>
          </w:p>
          <w:p w14:paraId="6FEFFA5D">
            <w:pPr>
              <w:pStyle w:val="6"/>
              <w:spacing w:before="78" w:line="217" w:lineRule="auto"/>
              <w:ind w:left="155"/>
            </w:pPr>
            <w:r>
              <w:rPr>
                <w:spacing w:val="-3"/>
              </w:rPr>
              <w:t>校园周边</w:t>
            </w:r>
          </w:p>
        </w:tc>
        <w:tc>
          <w:tcPr>
            <w:tcW w:w="8046" w:type="dxa"/>
            <w:vAlign w:val="top"/>
          </w:tcPr>
          <w:p w14:paraId="2A72361B">
            <w:pPr>
              <w:pStyle w:val="6"/>
              <w:spacing w:before="115" w:line="277" w:lineRule="auto"/>
              <w:ind w:left="115" w:right="111" w:hanging="7"/>
            </w:pPr>
            <w:r>
              <w:rPr>
                <w:rFonts w:ascii="Times New Roman" w:hAnsi="Times New Roman" w:eastAsia="Times New Roman" w:cs="Times New Roman"/>
                <w:spacing w:val="1"/>
              </w:rPr>
              <w:t>25.</w:t>
            </w:r>
            <w:r>
              <w:rPr>
                <w:spacing w:val="1"/>
              </w:rPr>
              <w:t>核查校园周边道路交通安全隐患，推动相关部门完善减速丘、信号灯、</w:t>
            </w:r>
            <w:r>
              <w:rPr>
                <w:spacing w:val="-12"/>
              </w:rPr>
              <w:t>斑马线、限速标志；是否存在影响学校及学生安全的经营场所、业态，第一</w:t>
            </w:r>
            <w:r>
              <w:rPr>
                <w:spacing w:val="-1"/>
              </w:rPr>
              <w:t>时间报告主管教育部门或相关职能部门</w:t>
            </w:r>
          </w:p>
        </w:tc>
      </w:tr>
    </w:tbl>
    <w:p w14:paraId="0911BAC1">
      <w:pPr>
        <w:spacing w:before="188" w:line="224" w:lineRule="auto"/>
        <w:ind w:left="13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二、开学首月阶段</w:t>
      </w:r>
    </w:p>
    <w:p w14:paraId="5899FE1C">
      <w:pPr>
        <w:spacing w:line="16" w:lineRule="exact"/>
      </w:pPr>
    </w:p>
    <w:tbl>
      <w:tblPr>
        <w:tblStyle w:val="5"/>
        <w:tblW w:w="92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8027"/>
      </w:tblGrid>
      <w:tr w14:paraId="1E61E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64" w:type="dxa"/>
            <w:vAlign w:val="top"/>
          </w:tcPr>
          <w:p w14:paraId="199D0F3B">
            <w:pPr>
              <w:spacing w:before="95" w:line="217" w:lineRule="auto"/>
              <w:ind w:left="1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工作任务</w:t>
            </w:r>
          </w:p>
        </w:tc>
        <w:tc>
          <w:tcPr>
            <w:tcW w:w="8027" w:type="dxa"/>
            <w:vAlign w:val="top"/>
          </w:tcPr>
          <w:p w14:paraId="45982275">
            <w:pPr>
              <w:spacing w:before="95" w:line="217" w:lineRule="auto"/>
              <w:ind w:left="35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具体要求</w:t>
            </w:r>
          </w:p>
        </w:tc>
      </w:tr>
      <w:tr w14:paraId="05C92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17AC2989">
            <w:pPr>
              <w:spacing w:line="241" w:lineRule="auto"/>
              <w:rPr>
                <w:rFonts w:ascii="Arial"/>
                <w:sz w:val="21"/>
              </w:rPr>
            </w:pPr>
          </w:p>
          <w:p w14:paraId="6BD70C63">
            <w:pPr>
              <w:spacing w:line="242" w:lineRule="auto"/>
              <w:rPr>
                <w:rFonts w:ascii="Arial"/>
                <w:sz w:val="21"/>
              </w:rPr>
            </w:pPr>
          </w:p>
          <w:p w14:paraId="3F9B7D02">
            <w:pPr>
              <w:spacing w:line="242" w:lineRule="auto"/>
              <w:rPr>
                <w:rFonts w:ascii="Arial"/>
                <w:sz w:val="21"/>
              </w:rPr>
            </w:pPr>
          </w:p>
          <w:p w14:paraId="0E734CB8">
            <w:pPr>
              <w:pStyle w:val="6"/>
              <w:spacing w:before="78" w:line="218" w:lineRule="auto"/>
              <w:ind w:left="165"/>
            </w:pPr>
            <w:r>
              <w:rPr>
                <w:spacing w:val="-4"/>
              </w:rPr>
              <w:t>开学首日</w:t>
            </w:r>
          </w:p>
        </w:tc>
        <w:tc>
          <w:tcPr>
            <w:tcW w:w="8027" w:type="dxa"/>
            <w:vAlign w:val="top"/>
          </w:tcPr>
          <w:p w14:paraId="77DA02FE">
            <w:pPr>
              <w:pStyle w:val="6"/>
              <w:spacing w:before="84" w:line="254" w:lineRule="auto"/>
              <w:ind w:left="111" w:right="102" w:firstLine="20"/>
              <w:jc w:val="both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协同公安机关落实高峰勤务和“护学岗”机制，学校领导带</w:t>
            </w:r>
            <w:r>
              <w:rPr>
                <w:spacing w:val="-3"/>
              </w:rPr>
              <w:t>班、保安员、</w:t>
            </w:r>
            <w:r>
              <w:rPr>
                <w:spacing w:val="-7"/>
              </w:rPr>
              <w:t>管理干部、值班教师、群防群治力量在岗，校门口及周边强化交通疏导和秩</w:t>
            </w:r>
            <w:r>
              <w:rPr>
                <w:spacing w:val="-1"/>
              </w:rPr>
              <w:t>序维护，确保学生随到随进，此后常态化落实</w:t>
            </w:r>
          </w:p>
        </w:tc>
      </w:tr>
      <w:tr w14:paraId="107E8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2D09BF2A">
            <w:pPr>
              <w:rPr>
                <w:rFonts w:ascii="Arial"/>
                <w:sz w:val="21"/>
              </w:rPr>
            </w:pPr>
          </w:p>
        </w:tc>
        <w:tc>
          <w:tcPr>
            <w:tcW w:w="8027" w:type="dxa"/>
            <w:vAlign w:val="top"/>
          </w:tcPr>
          <w:p w14:paraId="79C91D30">
            <w:pPr>
              <w:pStyle w:val="6"/>
              <w:spacing w:before="82" w:line="243" w:lineRule="auto"/>
              <w:ind w:left="109" w:right="108" w:hanging="1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spacing w:val="-2"/>
              </w:rPr>
              <w:t>全面核查学生返校报到情况，对未按规定时间报到的学生，逐一核查，并</w:t>
            </w:r>
            <w:r>
              <w:rPr>
                <w:spacing w:val="-1"/>
              </w:rPr>
              <w:t>及时报告有关情况</w:t>
            </w:r>
          </w:p>
        </w:tc>
      </w:tr>
      <w:tr w14:paraId="087C0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3B3AEF2D">
            <w:pPr>
              <w:spacing w:line="302" w:lineRule="auto"/>
              <w:rPr>
                <w:rFonts w:ascii="Arial"/>
                <w:sz w:val="21"/>
              </w:rPr>
            </w:pPr>
          </w:p>
          <w:p w14:paraId="6016E110">
            <w:pPr>
              <w:spacing w:line="303" w:lineRule="auto"/>
              <w:rPr>
                <w:rFonts w:ascii="Arial"/>
                <w:sz w:val="21"/>
              </w:rPr>
            </w:pPr>
          </w:p>
          <w:p w14:paraId="299BE7D2">
            <w:pPr>
              <w:spacing w:line="303" w:lineRule="auto"/>
              <w:rPr>
                <w:rFonts w:ascii="Arial"/>
                <w:sz w:val="21"/>
              </w:rPr>
            </w:pPr>
          </w:p>
          <w:p w14:paraId="61793F50">
            <w:pPr>
              <w:pStyle w:val="6"/>
              <w:spacing w:before="78" w:line="279" w:lineRule="auto"/>
              <w:ind w:left="160" w:right="150" w:firstLine="2"/>
            </w:pPr>
            <w:r>
              <w:rPr>
                <w:spacing w:val="-4"/>
              </w:rPr>
              <w:t>安全教育培训演练</w:t>
            </w:r>
          </w:p>
        </w:tc>
        <w:tc>
          <w:tcPr>
            <w:tcW w:w="8027" w:type="dxa"/>
            <w:vAlign w:val="top"/>
          </w:tcPr>
          <w:p w14:paraId="6DCF6286">
            <w:pPr>
              <w:pStyle w:val="6"/>
              <w:spacing w:before="83" w:line="254" w:lineRule="auto"/>
              <w:ind w:left="113" w:right="32"/>
              <w:jc w:val="both"/>
            </w:pPr>
            <w:r>
              <w:rPr>
                <w:rFonts w:ascii="Times New Roman" w:hAnsi="Times New Roman" w:eastAsia="Times New Roman" w:cs="Times New Roman"/>
                <w:spacing w:val="-2"/>
              </w:rPr>
              <w:t>3.</w:t>
            </w:r>
            <w:r>
              <w:rPr>
                <w:spacing w:val="-2"/>
              </w:rPr>
              <w:t>开学报到一周内，以“开学第一课”、主题班会、观看警示</w:t>
            </w:r>
            <w:r>
              <w:rPr>
                <w:spacing w:val="-8"/>
              </w:rPr>
              <w:t>教育片等形式集中开展安全教育，内容涵盖反恐</w:t>
            </w:r>
            <w:r>
              <w:rPr>
                <w:spacing w:val="-9"/>
              </w:rPr>
              <w:t>防暴、反诈防骗、生命安全、</w:t>
            </w:r>
            <w:r>
              <w:rPr>
                <w:spacing w:val="-1"/>
              </w:rPr>
              <w:t>防欺凌、反邪教、交通消防、食品卫生等</w:t>
            </w:r>
          </w:p>
        </w:tc>
      </w:tr>
      <w:tr w14:paraId="53067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 w14:paraId="7399D7A0">
            <w:pPr>
              <w:rPr>
                <w:rFonts w:ascii="Arial"/>
                <w:sz w:val="21"/>
              </w:rPr>
            </w:pPr>
          </w:p>
        </w:tc>
        <w:tc>
          <w:tcPr>
            <w:tcW w:w="8027" w:type="dxa"/>
            <w:vAlign w:val="top"/>
          </w:tcPr>
          <w:p w14:paraId="2BAC7C86">
            <w:pPr>
              <w:pStyle w:val="6"/>
              <w:spacing w:before="83" w:line="243" w:lineRule="auto"/>
              <w:ind w:left="115" w:right="108" w:hanging="8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开学两周内组织一次应急疏散演练（火灾或地震</w:t>
            </w:r>
            <w:r>
              <w:rPr>
                <w:spacing w:val="-12"/>
              </w:rPr>
              <w:t>），</w:t>
            </w:r>
            <w:r>
              <w:rPr>
                <w:spacing w:val="-1"/>
              </w:rPr>
              <w:t>确保师生熟悉疏散路线和集合点，演练结束后评估效果，修订完善应急预案</w:t>
            </w:r>
          </w:p>
        </w:tc>
      </w:tr>
      <w:tr w14:paraId="0EBE5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60E893A5">
            <w:pPr>
              <w:rPr>
                <w:rFonts w:ascii="Arial"/>
                <w:sz w:val="21"/>
              </w:rPr>
            </w:pPr>
          </w:p>
        </w:tc>
        <w:tc>
          <w:tcPr>
            <w:tcW w:w="8027" w:type="dxa"/>
            <w:vAlign w:val="top"/>
          </w:tcPr>
          <w:p w14:paraId="4DB652F3">
            <w:pPr>
              <w:pStyle w:val="6"/>
              <w:spacing w:before="85" w:line="243" w:lineRule="auto"/>
              <w:ind w:left="126" w:right="129" w:hanging="11"/>
            </w:pPr>
            <w:r>
              <w:rPr>
                <w:rFonts w:ascii="Times New Roman" w:hAnsi="Times New Roman" w:eastAsia="Times New Roman" w:cs="Times New Roman"/>
                <w:spacing w:val="-8"/>
              </w:rPr>
              <w:t>5.</w:t>
            </w:r>
            <w:r>
              <w:rPr>
                <w:spacing w:val="-8"/>
              </w:rPr>
              <w:t>组织教职工、宿管员、保安员持续开展安全法</w:t>
            </w:r>
            <w:r>
              <w:rPr>
                <w:spacing w:val="-9"/>
              </w:rPr>
              <w:t>治专题培训</w:t>
            </w:r>
          </w:p>
        </w:tc>
      </w:tr>
      <w:tr w14:paraId="7B872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6B93611C">
            <w:pPr>
              <w:spacing w:line="241" w:lineRule="auto"/>
              <w:rPr>
                <w:rFonts w:ascii="Arial"/>
                <w:sz w:val="21"/>
              </w:rPr>
            </w:pPr>
          </w:p>
          <w:p w14:paraId="524E17B6">
            <w:pPr>
              <w:spacing w:line="242" w:lineRule="auto"/>
              <w:rPr>
                <w:rFonts w:ascii="Arial"/>
                <w:sz w:val="21"/>
              </w:rPr>
            </w:pPr>
          </w:p>
          <w:p w14:paraId="38B4562A">
            <w:pPr>
              <w:spacing w:line="242" w:lineRule="auto"/>
              <w:rPr>
                <w:rFonts w:ascii="Arial"/>
                <w:sz w:val="21"/>
              </w:rPr>
            </w:pPr>
          </w:p>
          <w:p w14:paraId="3F569CF2">
            <w:pPr>
              <w:spacing w:line="242" w:lineRule="auto"/>
              <w:rPr>
                <w:rFonts w:ascii="Arial"/>
                <w:sz w:val="21"/>
              </w:rPr>
            </w:pPr>
          </w:p>
          <w:p w14:paraId="62550D1A">
            <w:pPr>
              <w:spacing w:line="242" w:lineRule="auto"/>
              <w:rPr>
                <w:rFonts w:ascii="Arial"/>
                <w:sz w:val="21"/>
              </w:rPr>
            </w:pPr>
          </w:p>
          <w:p w14:paraId="4BF57505">
            <w:pPr>
              <w:spacing w:line="242" w:lineRule="auto"/>
              <w:rPr>
                <w:rFonts w:ascii="Arial"/>
                <w:sz w:val="21"/>
              </w:rPr>
            </w:pPr>
          </w:p>
          <w:p w14:paraId="1CF45ABD">
            <w:pPr>
              <w:pStyle w:val="6"/>
              <w:spacing w:before="78" w:line="218" w:lineRule="auto"/>
              <w:ind w:left="176"/>
            </w:pPr>
            <w:r>
              <w:rPr>
                <w:spacing w:val="-6"/>
              </w:rPr>
              <w:t>隐患排查</w:t>
            </w:r>
          </w:p>
        </w:tc>
        <w:tc>
          <w:tcPr>
            <w:tcW w:w="8027" w:type="dxa"/>
            <w:vAlign w:val="top"/>
          </w:tcPr>
          <w:p w14:paraId="1008589A">
            <w:pPr>
              <w:pStyle w:val="6"/>
              <w:spacing w:before="84" w:line="242" w:lineRule="auto"/>
              <w:ind w:left="115" w:right="106" w:hanging="1"/>
            </w:pPr>
            <w:r>
              <w:rPr>
                <w:rFonts w:ascii="Times New Roman" w:hAnsi="Times New Roman" w:eastAsia="Times New Roman" w:cs="Times New Roman"/>
                <w:spacing w:val="-7"/>
              </w:rPr>
              <w:t>6.</w:t>
            </w:r>
            <w:r>
              <w:rPr>
                <w:spacing w:val="-7"/>
              </w:rPr>
              <w:t>开学首月，通过问卷调查、个别谈话、接受举报等方式，排查学生欺凌问</w:t>
            </w:r>
            <w:r>
              <w:rPr>
                <w:spacing w:val="-1"/>
              </w:rPr>
              <w:t>题线索，完善学生欺凌治理委员会架构，明确处置流程</w:t>
            </w:r>
          </w:p>
        </w:tc>
      </w:tr>
      <w:tr w14:paraId="4231C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 w14:paraId="5D71EFCD">
            <w:pPr>
              <w:rPr>
                <w:rFonts w:ascii="Arial"/>
                <w:sz w:val="21"/>
              </w:rPr>
            </w:pPr>
          </w:p>
        </w:tc>
        <w:tc>
          <w:tcPr>
            <w:tcW w:w="8027" w:type="dxa"/>
            <w:vAlign w:val="top"/>
          </w:tcPr>
          <w:p w14:paraId="2BCE349F">
            <w:pPr>
              <w:pStyle w:val="6"/>
              <w:spacing w:before="83" w:line="254" w:lineRule="auto"/>
              <w:ind w:left="107" w:right="106" w:firstLine="5"/>
              <w:jc w:val="both"/>
            </w:pPr>
            <w:r>
              <w:rPr>
                <w:rFonts w:ascii="Times New Roman" w:hAnsi="Times New Roman" w:eastAsia="Times New Roman" w:cs="Times New Roman"/>
                <w:spacing w:val="-7"/>
              </w:rPr>
              <w:t>7.</w:t>
            </w:r>
            <w:r>
              <w:rPr>
                <w:spacing w:val="-7"/>
              </w:rPr>
              <w:t>排查学生之间、师生之间、家校之间矛盾纠纷，及时调处化解；对特殊困境学生、心理问题学生、行为偏差学生等，建立重点学生台账，分级分类关</w:t>
            </w:r>
            <w:r>
              <w:rPr>
                <w:spacing w:val="-1"/>
              </w:rPr>
              <w:t>爱帮扶</w:t>
            </w:r>
          </w:p>
        </w:tc>
      </w:tr>
      <w:tr w14:paraId="43BB45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264" w:type="dxa"/>
            <w:vMerge w:val="continue"/>
            <w:tcBorders>
              <w:top w:val="nil"/>
              <w:bottom w:val="nil"/>
            </w:tcBorders>
            <w:vAlign w:val="top"/>
          </w:tcPr>
          <w:p w14:paraId="2D4163DE">
            <w:pPr>
              <w:rPr>
                <w:rFonts w:ascii="Arial"/>
                <w:sz w:val="21"/>
              </w:rPr>
            </w:pPr>
          </w:p>
        </w:tc>
        <w:tc>
          <w:tcPr>
            <w:tcW w:w="8027" w:type="dxa"/>
            <w:vAlign w:val="top"/>
          </w:tcPr>
          <w:p w14:paraId="02B6B1D3">
            <w:pPr>
              <w:pStyle w:val="6"/>
              <w:spacing w:before="85" w:line="242" w:lineRule="auto"/>
              <w:ind w:left="111" w:right="112" w:firstLine="7"/>
            </w:pPr>
            <w:r>
              <w:rPr>
                <w:rFonts w:ascii="Times New Roman" w:hAnsi="Times New Roman" w:eastAsia="Times New Roman" w:cs="Times New Roman"/>
                <w:spacing w:val="-2"/>
              </w:rPr>
              <w:t>8.</w:t>
            </w:r>
            <w:r>
              <w:rPr>
                <w:spacing w:val="-2"/>
              </w:rPr>
              <w:t>开学后对全体学生开展心理健康筛查，对特殊困境学生、心理问题</w:t>
            </w:r>
            <w:r>
              <w:rPr>
                <w:spacing w:val="-3"/>
              </w:rPr>
              <w:t>学生，</w:t>
            </w:r>
            <w:r>
              <w:rPr>
                <w:spacing w:val="-1"/>
              </w:rPr>
              <w:t>建立心理健康档案，对预警学生进行帮扶</w:t>
            </w:r>
          </w:p>
        </w:tc>
      </w:tr>
      <w:tr w14:paraId="3363F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499AF38D">
            <w:pPr>
              <w:rPr>
                <w:rFonts w:ascii="Arial"/>
                <w:sz w:val="21"/>
              </w:rPr>
            </w:pPr>
          </w:p>
        </w:tc>
        <w:tc>
          <w:tcPr>
            <w:tcW w:w="8027" w:type="dxa"/>
            <w:vAlign w:val="top"/>
          </w:tcPr>
          <w:p w14:paraId="3DD09A97">
            <w:pPr>
              <w:pStyle w:val="6"/>
              <w:spacing w:before="84" w:line="242" w:lineRule="auto"/>
              <w:ind w:left="125" w:right="108" w:hanging="12"/>
            </w:pPr>
            <w:r>
              <w:rPr>
                <w:rFonts w:ascii="Times New Roman" w:hAnsi="Times New Roman" w:eastAsia="Times New Roman" w:cs="Times New Roman"/>
                <w:spacing w:val="-2"/>
              </w:rPr>
              <w:t>9.</w:t>
            </w:r>
            <w:r>
              <w:rPr>
                <w:spacing w:val="-2"/>
              </w:rPr>
              <w:t>对开学前排查的隐患逐项进行“回头看”，及时发现新增隐患，强化整改</w:t>
            </w:r>
            <w:r>
              <w:rPr>
                <w:spacing w:val="-6"/>
              </w:rPr>
              <w:t>落实</w:t>
            </w:r>
          </w:p>
        </w:tc>
      </w:tr>
      <w:tr w14:paraId="29907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30FC0062">
            <w:pPr>
              <w:spacing w:line="275" w:lineRule="auto"/>
              <w:rPr>
                <w:rFonts w:ascii="Arial"/>
                <w:sz w:val="21"/>
              </w:rPr>
            </w:pPr>
          </w:p>
          <w:p w14:paraId="5EB9F2A3">
            <w:pPr>
              <w:spacing w:line="276" w:lineRule="auto"/>
              <w:rPr>
                <w:rFonts w:ascii="Arial"/>
                <w:sz w:val="21"/>
              </w:rPr>
            </w:pPr>
          </w:p>
          <w:p w14:paraId="11F04AFB">
            <w:pPr>
              <w:pStyle w:val="6"/>
              <w:spacing w:before="78" w:line="218" w:lineRule="auto"/>
              <w:ind w:left="165"/>
            </w:pPr>
            <w:r>
              <w:rPr>
                <w:spacing w:val="-4"/>
              </w:rPr>
              <w:t>军训安全</w:t>
            </w:r>
          </w:p>
        </w:tc>
        <w:tc>
          <w:tcPr>
            <w:tcW w:w="8027" w:type="dxa"/>
            <w:vAlign w:val="top"/>
          </w:tcPr>
          <w:p w14:paraId="7105D9EB">
            <w:pPr>
              <w:pStyle w:val="6"/>
              <w:spacing w:before="84" w:line="242" w:lineRule="auto"/>
              <w:ind w:left="126" w:right="108" w:firstLine="5"/>
            </w:pPr>
            <w:r>
              <w:rPr>
                <w:rFonts w:ascii="Times New Roman" w:hAnsi="Times New Roman" w:eastAsia="Times New Roman" w:cs="Times New Roman"/>
                <w:spacing w:val="1"/>
              </w:rPr>
              <w:t>10.</w:t>
            </w:r>
            <w:r>
              <w:rPr>
                <w:spacing w:val="1"/>
              </w:rPr>
              <w:t>制定军训安全工作预案，了解参训学生身体健康状况，对不适宜剧烈运</w:t>
            </w:r>
            <w:r>
              <w:rPr>
                <w:spacing w:val="-1"/>
              </w:rPr>
              <w:t>动的学生免除军训或旁观，备足饮用水和防暑降温物品</w:t>
            </w:r>
          </w:p>
        </w:tc>
      </w:tr>
      <w:tr w14:paraId="7A5C8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1A41D662">
            <w:pPr>
              <w:rPr>
                <w:rFonts w:ascii="Arial"/>
                <w:sz w:val="21"/>
              </w:rPr>
            </w:pPr>
          </w:p>
        </w:tc>
        <w:tc>
          <w:tcPr>
            <w:tcW w:w="8027" w:type="dxa"/>
            <w:vAlign w:val="top"/>
          </w:tcPr>
          <w:p w14:paraId="49B19E74">
            <w:pPr>
              <w:pStyle w:val="6"/>
              <w:spacing w:before="89" w:line="243" w:lineRule="auto"/>
              <w:ind w:left="140" w:right="108" w:hanging="9"/>
            </w:pPr>
            <w:r>
              <w:rPr>
                <w:rFonts w:ascii="Times New Roman" w:hAnsi="Times New Roman" w:eastAsia="Times New Roman" w:cs="Times New Roman"/>
                <w:spacing w:val="1"/>
              </w:rPr>
              <w:t>11.</w:t>
            </w:r>
            <w:r>
              <w:rPr>
                <w:spacing w:val="1"/>
              </w:rPr>
              <w:t>密切关注天气预报，高温红色、橙色预警时调整或暂停室外军训，安排</w:t>
            </w:r>
            <w:r>
              <w:rPr>
                <w:spacing w:val="-5"/>
              </w:rPr>
              <w:t>医务人员或校医。</w:t>
            </w:r>
          </w:p>
        </w:tc>
      </w:tr>
    </w:tbl>
    <w:p w14:paraId="626DC7C3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DCCF8">
    <w:pPr>
      <w:spacing w:before="1" w:line="227" w:lineRule="auto"/>
      <w:ind w:left="590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831BB">
    <w:pPr>
      <w:spacing w:line="225" w:lineRule="auto"/>
      <w:ind w:left="7636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C77ED"/>
    <w:rsid w:val="026003DA"/>
    <w:rsid w:val="09F605F0"/>
    <w:rsid w:val="0B9510F4"/>
    <w:rsid w:val="1E8A4C22"/>
    <w:rsid w:val="1FFE5B1A"/>
    <w:rsid w:val="20AE781D"/>
    <w:rsid w:val="22A50EA1"/>
    <w:rsid w:val="30D37E45"/>
    <w:rsid w:val="42F75C15"/>
    <w:rsid w:val="44666D15"/>
    <w:rsid w:val="5753390A"/>
    <w:rsid w:val="687436E1"/>
    <w:rsid w:val="6F7F4719"/>
    <w:rsid w:val="7E7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1959</Words>
  <Characters>2021</Characters>
  <Lines>0</Lines>
  <Paragraphs>0</Paragraphs>
  <TotalTime>19</TotalTime>
  <ScaleCrop>false</ScaleCrop>
  <LinksUpToDate>false</LinksUpToDate>
  <CharactersWithSpaces>2022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2026-06-09T05:55:00Z</dcterms:created>
  <dc:creator>SDUT</dc:creator>
  <cp:lastModifiedBy>LOVE学(蓝钻用户)</cp:lastModifiedBy>
  <dcterms:modified xsi:type="dcterms:W3CDTF">2026-08-28T01:19:38Z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C31EAFB2C2C742819C6C9B24D0D6D43D_12</vt:lpwstr>
  </property>
  <property fmtid="{D5CDD505-2E9C-101B-9397-08002B2CF9AE}" pid="4" name="KSOTemplateDocerSaveRecord">
    <vt:lpwstr>eyJoZGlkIjoiNGY3OTY5NTUxN2MzMmY0Y2JiMjRjNjA2ZDg4MzQ3NDYiLCJ1c2VySWQiOiI4MjcwNTM2NzMifQ==</vt:lpwstr>
  </property>
</Properties>
</file>